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hint="eastAsia" w:ascii="方正小标宋简体" w:hAnsi="仿宋" w:eastAsia="方正小标宋简体" w:cs="仿宋"/>
          <w:b/>
          <w:bCs/>
          <w:sz w:val="44"/>
          <w:szCs w:val="44"/>
          <w:highlight w:val="none"/>
        </w:rPr>
      </w:pPr>
    </w:p>
    <w:p>
      <w:pPr>
        <w:spacing w:line="520" w:lineRule="exact"/>
        <w:jc w:val="center"/>
        <w:rPr>
          <w:rFonts w:ascii="方正小标宋简体" w:hAnsi="仿宋" w:eastAsia="方正小标宋简体" w:cs="仿宋"/>
          <w:b/>
          <w:bCs/>
          <w:sz w:val="44"/>
          <w:szCs w:val="44"/>
          <w:highlight w:val="none"/>
        </w:rPr>
      </w:pPr>
      <w:r>
        <w:rPr>
          <w:rFonts w:hint="eastAsia" w:ascii="方正小标宋简体" w:hAnsi="仿宋" w:eastAsia="方正小标宋简体" w:cs="仿宋"/>
          <w:b/>
          <w:bCs/>
          <w:sz w:val="44"/>
          <w:szCs w:val="44"/>
          <w:highlight w:val="none"/>
        </w:rPr>
        <w:t>202</w:t>
      </w:r>
      <w:r>
        <w:rPr>
          <w:rFonts w:hint="eastAsia" w:ascii="方正小标宋简体" w:hAnsi="仿宋" w:eastAsia="方正小标宋简体" w:cs="仿宋"/>
          <w:b/>
          <w:bCs/>
          <w:sz w:val="44"/>
          <w:szCs w:val="44"/>
          <w:highlight w:val="none"/>
          <w:lang w:val="en-US" w:eastAsia="zh-CN"/>
        </w:rPr>
        <w:t>1</w:t>
      </w:r>
      <w:r>
        <w:rPr>
          <w:rFonts w:hint="eastAsia" w:ascii="方正小标宋简体" w:hAnsi="仿宋" w:eastAsia="方正小标宋简体" w:cs="仿宋"/>
          <w:b/>
          <w:bCs/>
          <w:sz w:val="44"/>
          <w:szCs w:val="44"/>
          <w:highlight w:val="none"/>
        </w:rPr>
        <w:t>年自治区科技奖励提名公示内容</w:t>
      </w:r>
    </w:p>
    <w:p>
      <w:pPr>
        <w:spacing w:line="520" w:lineRule="exact"/>
        <w:jc w:val="center"/>
        <w:rPr>
          <w:rFonts w:hint="eastAsia" w:ascii="方正小标宋简体" w:hAnsi="仿宋" w:eastAsia="方正小标宋简体" w:cs="仿宋"/>
          <w:b/>
          <w:bCs/>
          <w:sz w:val="32"/>
          <w:szCs w:val="32"/>
          <w:highlight w:val="none"/>
        </w:rPr>
      </w:pPr>
      <w:r>
        <w:rPr>
          <w:rFonts w:hint="eastAsia" w:ascii="方正小标宋简体" w:hAnsi="仿宋" w:eastAsia="方正小标宋简体" w:cs="仿宋"/>
          <w:b/>
          <w:bCs/>
          <w:sz w:val="32"/>
          <w:szCs w:val="32"/>
          <w:highlight w:val="none"/>
        </w:rPr>
        <w:t>科技进步奖励二等奖</w:t>
      </w:r>
    </w:p>
    <w:p>
      <w:pPr>
        <w:spacing w:line="520" w:lineRule="exact"/>
        <w:rPr>
          <w:rFonts w:hint="eastAsia" w:ascii="方正仿宋简体" w:hAnsi="仿宋" w:eastAsia="方正仿宋简体" w:cs="仿宋"/>
          <w:b/>
          <w:sz w:val="30"/>
          <w:szCs w:val="30"/>
          <w:highlight w:val="none"/>
        </w:rPr>
      </w:pPr>
    </w:p>
    <w:p>
      <w:pPr>
        <w:spacing w:line="520" w:lineRule="exact"/>
        <w:rPr>
          <w:rFonts w:ascii="方正仿宋简体" w:hAnsi="仿宋" w:eastAsia="方正仿宋简体" w:cs="仿宋"/>
          <w:b/>
          <w:sz w:val="30"/>
          <w:szCs w:val="30"/>
          <w:highlight w:val="none"/>
        </w:rPr>
      </w:pPr>
      <w:r>
        <w:rPr>
          <w:rFonts w:hint="eastAsia" w:ascii="方正仿宋简体" w:hAnsi="仿宋" w:eastAsia="方正仿宋简体" w:cs="仿宋"/>
          <w:b/>
          <w:sz w:val="30"/>
          <w:szCs w:val="30"/>
          <w:highlight w:val="none"/>
        </w:rPr>
        <w:t>项目名称:</w:t>
      </w:r>
      <w:r>
        <w:rPr>
          <w:rFonts w:hint="eastAsia"/>
          <w:highlight w:val="none"/>
        </w:rPr>
        <w:t xml:space="preserve"> </w:t>
      </w:r>
      <w:r>
        <w:rPr>
          <w:rFonts w:hint="eastAsia" w:ascii="方正仿宋简体" w:hAnsi="仿宋" w:eastAsia="方正仿宋简体" w:cs="仿宋"/>
          <w:sz w:val="30"/>
          <w:szCs w:val="30"/>
          <w:highlight w:val="none"/>
        </w:rPr>
        <w:t>阿勒泰矿区修复技术集成与模式研究</w:t>
      </w:r>
    </w:p>
    <w:p>
      <w:pPr>
        <w:spacing w:line="520" w:lineRule="exact"/>
        <w:ind w:firstLine="600" w:firstLineChars="200"/>
        <w:rPr>
          <w:rFonts w:ascii="方正仿宋简体" w:hAnsi="仿宋" w:eastAsia="方正仿宋简体" w:cs="仿宋"/>
          <w:b/>
          <w:color w:val="000000"/>
          <w:sz w:val="30"/>
          <w:szCs w:val="30"/>
          <w:highlight w:val="none"/>
        </w:rPr>
      </w:pPr>
    </w:p>
    <w:p>
      <w:pPr>
        <w:spacing w:line="520" w:lineRule="exact"/>
        <w:ind w:firstLine="560" w:firstLineChars="200"/>
        <w:rPr>
          <w:rFonts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一、提名单位（专家）意见</w:t>
      </w:r>
      <w:bookmarkStart w:id="0" w:name="_GoBack"/>
      <w:bookmarkEnd w:id="0"/>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1.项目资料规范、齐全,符合科技成果评价要求。</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2.</w:t>
      </w:r>
      <w:r>
        <w:rPr>
          <w:rFonts w:hint="default" w:ascii="Times New Roman" w:hAnsi="Times New Roman" w:eastAsia="宋体" w:cs="Times New Roman"/>
          <w:sz w:val="24"/>
          <w:szCs w:val="24"/>
          <w:highlight w:val="none"/>
        </w:rPr>
        <w:t xml:space="preserve"> </w:t>
      </w:r>
      <w:r>
        <w:rPr>
          <w:rFonts w:hint="default" w:ascii="Times New Roman" w:hAnsi="Times New Roman" w:eastAsia="宋体" w:cs="Times New Roman"/>
          <w:color w:val="000000"/>
          <w:sz w:val="24"/>
          <w:szCs w:val="24"/>
          <w:highlight w:val="none"/>
        </w:rPr>
        <w:t>本项目对传统生态恢复理念、技术进行创新，解决了传统生态恢复工程技术单一、落后，缺乏科学性、系统性等问题，创新性的研究出一套生态恢复流程、模式，并构建生态-经济综合评价体系定量评估恢复成效。</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default" w:ascii="Times New Roman" w:hAnsi="Times New Roman" w:eastAsia="宋体" w:cs="Times New Roman"/>
          <w:color w:val="000000"/>
          <w:sz w:val="24"/>
          <w:szCs w:val="24"/>
          <w:highlight w:val="none"/>
        </w:rPr>
        <w:t>主要创新点包括:</w:t>
      </w:r>
      <w:r>
        <w:rPr>
          <w:rFonts w:hint="default" w:ascii="Times New Roman" w:hAnsi="Times New Roman" w:eastAsia="宋体" w:cs="Times New Roman"/>
          <w:color w:val="000000"/>
          <w:sz w:val="24"/>
          <w:szCs w:val="24"/>
          <w:highlight w:val="none"/>
          <w:lang w:val="en-US" w:eastAsia="zh-CN"/>
        </w:rPr>
        <w:t>1</w:t>
      </w:r>
      <w:r>
        <w:rPr>
          <w:rFonts w:hint="default" w:ascii="Times New Roman" w:hAnsi="Times New Roman" w:eastAsia="宋体" w:cs="Times New Roman"/>
          <w:color w:val="000000"/>
          <w:sz w:val="24"/>
          <w:szCs w:val="24"/>
          <w:highlight w:val="none"/>
        </w:rPr>
        <w:t>基于不同植被单元生境-植被关系的矿区生态修复目标阈值，首次依据土壤种子库研究路径开展乡土植物在矿区生态修复中的适用性和实用性研究，系统揭示了生态修复干扰方式和强度下植被演替及响应规律，完善了干旱区矿区生态修复理论依据</w:t>
      </w:r>
      <w:r>
        <w:rPr>
          <w:rFonts w:hint="default"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lang w:val="en-US" w:eastAsia="zh-CN"/>
        </w:rPr>
        <w:t>2</w:t>
      </w:r>
      <w:r>
        <w:rPr>
          <w:rFonts w:hint="default" w:ascii="Times New Roman" w:hAnsi="Times New Roman" w:eastAsia="宋体" w:cs="Times New Roman"/>
          <w:color w:val="000000"/>
          <w:sz w:val="24"/>
          <w:szCs w:val="24"/>
          <w:highlight w:val="none"/>
        </w:rPr>
        <w:t>遵循“道法自然”，“自然恢复为主，人工促进为辅”、“低投入、低干扰、有效益”的原则，提出了包含草皮移植、泥浆喷播等的修复技术，创建了基于水、土、种子局部富集理论的综合修复技术模式，实现了河谷区不同地形下生态修复技术的突破</w:t>
      </w:r>
      <w:r>
        <w:rPr>
          <w:rFonts w:hint="default"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rPr>
        <w:t>基于不同区域不同矿种生态修复的成效研究，提出了成本与生态效益综合评估模型，以及生态修复模式选择的技术框架，首次明确了矿区生态修复的多要素验收标准</w:t>
      </w:r>
      <w:r>
        <w:rPr>
          <w:rFonts w:hint="default" w:ascii="Times New Roman" w:hAnsi="Times New Roman" w:eastAsia="宋体" w:cs="Times New Roman"/>
          <w:color w:val="000000"/>
          <w:sz w:val="24"/>
          <w:szCs w:val="24"/>
          <w:highlight w:val="none"/>
          <w:lang w:eastAsia="zh-CN"/>
        </w:rPr>
        <w:t>。</w:t>
      </w:r>
    </w:p>
    <w:p>
      <w:pPr>
        <w:spacing w:line="520" w:lineRule="exact"/>
        <w:ind w:firstLine="560" w:firstLineChars="200"/>
        <w:rPr>
          <w:rFonts w:hint="eastAsia"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二、项目简介</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rPr>
        <w:t>矿山修复是近些年的热点，随着自然资源部今年印发了《关于探索利用市场化方式推进矿山生态修复的意见》，未来我国矿山生态修复将有了多重保障。但长期以来，由于高强度的矿产资源过度开采，使我国在矿区生态保护修复方面历史欠账多、修复任务重、资金压力大，矛盾非常突出，存在一些亟待克服问题。矿区土地复垦工作开展较晚，生态修复理论研究不足</w:t>
      </w:r>
      <w:r>
        <w:rPr>
          <w:rFonts w:hint="eastAsia" w:ascii="Times New Roman" w:hAnsi="Times New Roman" w:eastAsia="宋体" w:cs="Times New Roman"/>
          <w:color w:val="000000"/>
          <w:sz w:val="24"/>
          <w:szCs w:val="24"/>
          <w:highlight w:val="none"/>
          <w:lang w:eastAsia="zh-CN"/>
        </w:rPr>
        <w:t>，如，矿区生态修复过程中植被群落演替机制与生物多样性变化规律尚未明晰。在干旱区，水、土资源的时空差异性及治理区自然落种困难是影响矿区生态修复的主因，</w:t>
      </w:r>
      <w:r>
        <w:rPr>
          <w:rFonts w:hint="eastAsia" w:ascii="Times New Roman" w:hAnsi="Times New Roman" w:eastAsia="宋体" w:cs="Times New Roman"/>
          <w:color w:val="000000"/>
          <w:sz w:val="24"/>
          <w:szCs w:val="24"/>
          <w:highlight w:val="none"/>
          <w:lang w:val="en-US" w:eastAsia="zh-CN"/>
        </w:rPr>
        <w:t>如何有效解决存在较大难度</w:t>
      </w: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rPr>
        <w:t>传统的生态修复技术耗财耗力，难以应用于干旱区，不仅取得的生态效益差，甚至由于“急功近利”、“流于表面”，忽略周边实际情况，不修复工作的考虑长期性与协调性，致使生态系统继续遭受物种入侵、生态风险增加等威胁。矿区生态修复工作修复目标与验收标准缺乏统一的认知，</w:t>
      </w:r>
      <w:r>
        <w:rPr>
          <w:rFonts w:hint="eastAsia" w:ascii="Times New Roman" w:hAnsi="Times New Roman" w:eastAsia="宋体" w:cs="Times New Roman"/>
          <w:color w:val="000000"/>
          <w:sz w:val="24"/>
          <w:szCs w:val="24"/>
          <w:highlight w:val="none"/>
          <w:lang w:val="en-US" w:eastAsia="zh-CN"/>
        </w:rPr>
        <w:t>致使修复工作普遍具有盲目性。</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为此</w:t>
      </w:r>
      <w:r>
        <w:rPr>
          <w:rFonts w:hint="eastAsia" w:ascii="Times New Roman" w:hAnsi="Times New Roman" w:eastAsia="宋体" w:cs="Times New Roman"/>
          <w:color w:val="000000"/>
          <w:sz w:val="24"/>
          <w:szCs w:val="24"/>
          <w:highlight w:val="none"/>
          <w:lang w:val="en-US" w:eastAsia="zh-CN"/>
        </w:rPr>
        <w:t>,新疆维吾尔自治区</w:t>
      </w:r>
      <w:r>
        <w:rPr>
          <w:rFonts w:hint="eastAsia" w:ascii="Times New Roman" w:hAnsi="Times New Roman" w:eastAsia="宋体" w:cs="Times New Roman"/>
          <w:color w:val="000000"/>
          <w:sz w:val="24"/>
          <w:szCs w:val="24"/>
          <w:highlight w:val="none"/>
        </w:rPr>
        <w:t>阿尔泰山国有林管理局在“中国与全球环境基金（GEF)生物多样性伙伴关系框架”和“中国与全球环境基金（GEF）防治土地退化合作伙伴关系框架”下设立的一个为期5年（2014-2019年）的生态保护项目；并在科技厅立项（2015-2018年）</w:t>
      </w: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基于中国科学院新疆生态与地理研究所的国家自然科学基金项目“土壤种子库在干旱区受损生态系统恢复与重建中的作用”(2010-2012年)的研究基础，</w:t>
      </w:r>
      <w:r>
        <w:rPr>
          <w:rFonts w:hint="eastAsia" w:ascii="Times New Roman" w:hAnsi="Times New Roman" w:eastAsia="宋体" w:cs="Times New Roman"/>
          <w:color w:val="000000"/>
          <w:sz w:val="24"/>
          <w:szCs w:val="24"/>
          <w:highlight w:val="none"/>
        </w:rPr>
        <w:t>项目由新疆维吾尔自治区阿尔泰山国有林管理局与中国科学院新疆生态与地理研究所联合开展。经过连续</w:t>
      </w:r>
      <w:r>
        <w:rPr>
          <w:rFonts w:hint="eastAsia" w:ascii="Times New Roman" w:hAnsi="Times New Roman" w:eastAsia="宋体" w:cs="Times New Roman"/>
          <w:color w:val="000000"/>
          <w:sz w:val="24"/>
          <w:szCs w:val="24"/>
          <w:highlight w:val="none"/>
          <w:lang w:val="en-US" w:eastAsia="zh-CN"/>
        </w:rPr>
        <w:t>3</w:t>
      </w:r>
      <w:r>
        <w:rPr>
          <w:rFonts w:hint="eastAsia" w:ascii="Times New Roman" w:hAnsi="Times New Roman" w:eastAsia="宋体" w:cs="Times New Roman"/>
          <w:color w:val="000000"/>
          <w:sz w:val="24"/>
          <w:szCs w:val="24"/>
          <w:highlight w:val="none"/>
        </w:rPr>
        <w:t>年对288个样点的土壤、水分、植被的监测，从地形、土壤、水分、生物四个角度，对技术进行改良与优化完善，对成熟可行的技术成果进行总结提升，共建立核心实验区3个，恢复矿区5019亩，筛选出9类针对不同地貌，不同破坏程度、适宜推广的</w:t>
      </w:r>
      <w:r>
        <w:rPr>
          <w:rFonts w:hint="eastAsia" w:ascii="Times New Roman" w:hAnsi="Times New Roman" w:eastAsia="宋体" w:cs="Times New Roman"/>
          <w:color w:val="000000"/>
          <w:sz w:val="24"/>
          <w:szCs w:val="24"/>
          <w:highlight w:val="none"/>
          <w:lang w:val="en-US" w:eastAsia="zh-CN"/>
        </w:rPr>
        <w:t>干旱区</w:t>
      </w:r>
      <w:r>
        <w:rPr>
          <w:rFonts w:hint="eastAsia" w:ascii="Times New Roman" w:hAnsi="Times New Roman" w:eastAsia="宋体" w:cs="Times New Roman"/>
          <w:color w:val="000000"/>
          <w:sz w:val="24"/>
          <w:szCs w:val="24"/>
          <w:highlight w:val="none"/>
        </w:rPr>
        <w:t>恢复模式。</w:t>
      </w:r>
    </w:p>
    <w:p>
      <w:pPr>
        <w:spacing w:line="520" w:lineRule="exact"/>
        <w:ind w:firstLine="560" w:firstLineChars="200"/>
        <w:rPr>
          <w:rFonts w:hint="eastAsia"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三、推广应用情况</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通过本项目的执行，形成了“废弃矿区生态问题诊断、生态监测、自然恢复为主的恢复模式研究、矿区生态恢复实践、效果评价和验收标准”的运行机制，为阿尔泰山国有林管理局举办培训班30余期，培养相关人员超过500名，发展了恢复生态学的科学理论体系，提升了废弃矿区生态修复实践的技术水准，在干旱区产生了良好的示范效应。为阿勒泰地区废弃矿区生态恢复技术规范和标准的建立提供了技术借鉴和理论依据，对阿勒泰地区的生态文明建设及实现人与自然和谐发展具有重要的推动作用。基于本项目研究成果支撑UNDP-GEF湿地项目实现了“响应中国新疆北部AMWL的全球重要的生物多样性和至关重要的生态服务所面临的或者即将面临的威胁”这个总体目标。在景观层面的成果开展并示范一个有效的生态修复框架，得到UNDP项目主任、项目国际首席技术顾问的高度肯定。</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基于本项目的研究成果、修复理念及经验，指导了“卡拉麦里自然保护区矿区生态修复工程”，在相关单位的配合下，将卡拉麦里自然保护区的生态修复工程打造成亮点与示范工程，通过了县政府组织的专家评审组的一致认可，并得到了项目评审组长-中国工程院王浩院士的高度首肯，给关心此工程的中央领导、自治区、地区交了一份满意答卷。另外，富蕴县、福海县的“新疆额尔齐斯河流域山水林田湖草生态保护修复项目”由于采取了本项目成熟的生态修复技术模式，取得了显著的生态修复效果。增强了相关人员的矿区生态安全保护意识，提升了管理部门生态保护合理配置的能力，树立了科研成果转化服务于政府决策的良好典范。此外，本项目成果为“乌尉公路包PPP项目”的临时用地的生态修复工作、天山西部管理局特克斯分局天然林资源保护修复工程、阿尔泰山森林公园、自然保护区受损区域地质环境恢复与生态修复治理项目提供了技术指导；为新疆维吾尔自治区林业和草原局组织的“2020年天然林保护工程项目”“2021年天然林保护工程项目”防治水土流失，开展生态修复，提供了理论支撑与技术指导；为新疆维吾尔自治区天山东部国有林管理局组织的“天山东部国有林管理局奇台分局天然林保护工程区东湾根葛尔大沟生态保护修复试点规划”统筹山水林田胡草沙的综合治理，提供了理论支撑与技术指导；与新疆新禾盛农农业科技有限公司达成合作框架协议，完成技术成果转化；支撑自治区土地开发整理建设管理局，开展“自治区国土空间生态修复标准研究和评估（一标段）干旱区微地形整治修复关键技术标准制定”工作。到2021年，本项目提出的关键技术模式在疆内喀什、吐鲁番、阿勒泰、昌吉、乌鲁木齐等地区的生态受损区的得到了广泛应用，推广面积11万亩、计划推广200万亩，其中微地形整理技术被疆内外企业自觉采用效益明显。</w:t>
      </w:r>
    </w:p>
    <w:p>
      <w:pPr>
        <w:spacing w:line="520" w:lineRule="exact"/>
        <w:ind w:firstLine="560" w:firstLineChars="200"/>
        <w:rPr>
          <w:rFonts w:hint="eastAsia"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四、主要知识产权证明目录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本项目实施过程中申报发明专利3项</w:t>
      </w: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lang w:val="en-US" w:eastAsia="zh-CN"/>
        </w:rPr>
        <w:t>软件等级1项，地方标准4项，</w:t>
      </w:r>
      <w:r>
        <w:rPr>
          <w:rFonts w:hint="eastAsia" w:ascii="Times New Roman" w:hAnsi="Times New Roman" w:eastAsia="宋体" w:cs="Times New Roman"/>
          <w:color w:val="000000"/>
          <w:sz w:val="24"/>
          <w:szCs w:val="24"/>
          <w:highlight w:val="none"/>
        </w:rPr>
        <w:t>发表论文</w:t>
      </w:r>
      <w:r>
        <w:rPr>
          <w:rFonts w:hint="default" w:ascii="Times New Roman" w:hAnsi="Times New Roman" w:eastAsia="宋体" w:cs="Times New Roman"/>
          <w:color w:val="000000"/>
          <w:sz w:val="24"/>
          <w:szCs w:val="24"/>
          <w:highlight w:val="none"/>
        </w:rPr>
        <w:t>2</w:t>
      </w:r>
      <w:r>
        <w:rPr>
          <w:rFonts w:hint="eastAsia" w:ascii="Times New Roman" w:hAnsi="Times New Roman" w:eastAsia="宋体" w:cs="Times New Roman"/>
          <w:color w:val="000000"/>
          <w:sz w:val="24"/>
          <w:szCs w:val="24"/>
          <w:highlight w:val="none"/>
          <w:lang w:val="en-US" w:eastAsia="zh-CN"/>
        </w:rPr>
        <w:t>3</w:t>
      </w:r>
      <w:r>
        <w:rPr>
          <w:rFonts w:hint="eastAsia" w:ascii="Times New Roman" w:hAnsi="Times New Roman" w:eastAsia="宋体" w:cs="Times New Roman"/>
          <w:color w:val="000000"/>
          <w:sz w:val="24"/>
          <w:szCs w:val="24"/>
          <w:highlight w:val="none"/>
        </w:rPr>
        <w:t>篇</w:t>
      </w: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rPr>
        <w:t>专著1部。</w:t>
      </w:r>
    </w:p>
    <w:p>
      <w:pPr>
        <w:rPr>
          <w:rFonts w:ascii="方正仿宋简体" w:hAnsi="仿宋" w:eastAsia="方正仿宋简体" w:cs="仿宋"/>
          <w:color w:val="000000"/>
          <w:sz w:val="30"/>
          <w:szCs w:val="30"/>
          <w:highlight w:val="none"/>
        </w:rPr>
      </w:pPr>
      <w:r>
        <w:rPr>
          <w:rFonts w:hint="eastAsia" w:ascii="方正仿宋简体" w:hAnsi="仿宋" w:eastAsia="方正仿宋简体" w:cs="仿宋"/>
          <w:color w:val="000000"/>
          <w:sz w:val="30"/>
          <w:szCs w:val="30"/>
          <w:highlight w:val="none"/>
        </w:rPr>
        <w:t>申请专利3项：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1</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一种荒漠区公路免灌绿化方法,发明专利，Zl201711456857.4</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2</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一种利用泥浆喷播进行生态修复的方法</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发明专利</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Zl 202010560845.1</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3</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一种废弃矿区边坡生态修复方法</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发明专利</w:t>
      </w:r>
      <w:r>
        <w:rPr>
          <w:rFonts w:hint="default" w:ascii="Times New Roman" w:hAnsi="Times New Roman" w:eastAsia="宋体" w:cs="Times New Roman"/>
          <w:color w:val="000000"/>
          <w:sz w:val="24"/>
          <w:szCs w:val="24"/>
          <w:highlight w:val="none"/>
        </w:rPr>
        <w:t>.</w:t>
      </w:r>
      <w:r>
        <w:rPr>
          <w:rFonts w:hint="eastAsia" w:ascii="Times New Roman" w:hAnsi="Times New Roman" w:eastAsia="宋体" w:cs="Times New Roman"/>
          <w:color w:val="000000"/>
          <w:sz w:val="24"/>
          <w:szCs w:val="24"/>
          <w:highlight w:val="none"/>
        </w:rPr>
        <w:t>Zl 202010560844.7</w:t>
      </w:r>
    </w:p>
    <w:p>
      <w:pPr>
        <w:rPr>
          <w:rFonts w:hint="eastAsia" w:ascii="方正仿宋简体" w:hAnsi="仿宋" w:eastAsia="方正仿宋简体" w:cs="仿宋"/>
          <w:color w:val="000000"/>
          <w:sz w:val="30"/>
          <w:szCs w:val="30"/>
          <w:highlight w:val="none"/>
          <w:lang w:val="en-US" w:eastAsia="zh-CN"/>
        </w:rPr>
      </w:pPr>
      <w:r>
        <w:rPr>
          <w:rFonts w:hint="eastAsia" w:ascii="方正仿宋简体" w:hAnsi="仿宋" w:eastAsia="方正仿宋简体" w:cs="仿宋"/>
          <w:color w:val="000000"/>
          <w:sz w:val="30"/>
          <w:szCs w:val="30"/>
          <w:highlight w:val="none"/>
          <w:lang w:val="en-US" w:eastAsia="zh-CN"/>
        </w:rPr>
        <w:t>软件等级1项：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《林业有害生物工作日志上报系统V1.0》（授权号：2020SR0524321）</w:t>
      </w:r>
    </w:p>
    <w:p>
      <w:pPr>
        <w:rPr>
          <w:rFonts w:hint="eastAsia" w:ascii="方正仿宋简体" w:hAnsi="仿宋" w:eastAsia="方正仿宋简体" w:cs="仿宋"/>
          <w:color w:val="000000"/>
          <w:sz w:val="30"/>
          <w:szCs w:val="30"/>
          <w:highlight w:val="none"/>
          <w:lang w:val="en-US" w:eastAsia="zh-CN"/>
        </w:rPr>
      </w:pPr>
      <w:r>
        <w:rPr>
          <w:rFonts w:hint="eastAsia" w:ascii="方正仿宋简体" w:hAnsi="仿宋" w:eastAsia="方正仿宋简体" w:cs="仿宋"/>
          <w:color w:val="000000"/>
          <w:sz w:val="30"/>
          <w:szCs w:val="30"/>
          <w:highlight w:val="none"/>
          <w:lang w:val="en-US" w:eastAsia="zh-CN"/>
        </w:rPr>
        <w:t>地方标准4项：</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1.《森林公园文化陈列馆建设与服务规范》（DB 65/T 4253—2019）</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2.《森林公园露营地建设与服务规范 第 1 部分：导则》（DB 65/T 4252.1—2019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3.《森林公园露营地建设与服务规范 第 2 部分：汽车露营地》（DB 65/T 4252.2—2019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eastAsia" w:ascii="Times New Roman" w:hAnsi="Times New Roman" w:eastAsia="宋体" w:cs="Times New Roman"/>
          <w:color w:val="000000"/>
          <w:sz w:val="24"/>
          <w:szCs w:val="24"/>
          <w:highlight w:val="none"/>
          <w:lang w:val="en-US" w:eastAsia="zh-CN"/>
        </w:rPr>
      </w:pPr>
      <w:r>
        <w:rPr>
          <w:rFonts w:hint="eastAsia" w:ascii="Times New Roman" w:hAnsi="Times New Roman" w:eastAsia="宋体" w:cs="Times New Roman"/>
          <w:color w:val="000000"/>
          <w:sz w:val="24"/>
          <w:szCs w:val="24"/>
          <w:highlight w:val="none"/>
          <w:lang w:val="en-US" w:eastAsia="zh-CN"/>
        </w:rPr>
        <w:t>4.《森林公园露营地建设与服务规范 第3部分：户外扎营露营地》（DB 65/T 4252.3—2019 ）</w:t>
      </w:r>
    </w:p>
    <w:p>
      <w:pPr>
        <w:rPr>
          <w:rFonts w:hint="eastAsia" w:ascii="方正仿宋简体" w:hAnsi="仿宋" w:eastAsia="方正仿宋简体" w:cs="仿宋"/>
          <w:color w:val="000000"/>
          <w:sz w:val="30"/>
          <w:szCs w:val="30"/>
          <w:highlight w:val="none"/>
        </w:rPr>
      </w:pPr>
      <w:r>
        <w:rPr>
          <w:rFonts w:hint="eastAsia" w:ascii="方正仿宋简体" w:hAnsi="仿宋" w:eastAsia="方正仿宋简体" w:cs="仿宋"/>
          <w:color w:val="000000"/>
          <w:sz w:val="30"/>
          <w:szCs w:val="30"/>
          <w:highlight w:val="none"/>
          <w:lang w:val="en-US" w:eastAsia="zh-CN"/>
        </w:rPr>
        <w:t>论文23</w:t>
      </w:r>
      <w:r>
        <w:rPr>
          <w:rFonts w:hint="eastAsia" w:ascii="方正仿宋简体" w:hAnsi="仿宋" w:eastAsia="方正仿宋简体" w:cs="仿宋"/>
          <w:color w:val="000000"/>
          <w:sz w:val="30"/>
          <w:szCs w:val="30"/>
          <w:highlight w:val="none"/>
        </w:rPr>
        <w:t>篇目录：</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 xml:space="preserve">[1] 叶茂,徐福军.阿勒泰地区自然保护区生物多样性监测体系建设[J].新疆林业,2018(04):21-22.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[2] 徐海量.矿区恢复典型案例分析</w:t>
      </w:r>
      <w:r>
        <w:rPr>
          <w:rFonts w:hint="eastAsia" w:ascii="Times New Roman" w:hAnsi="Times New Roman" w:eastAsia="宋体" w:cs="Times New Roman"/>
          <w:color w:val="000000"/>
          <w:sz w:val="24"/>
          <w:szCs w:val="24"/>
          <w:highlight w:val="none"/>
          <w:lang w:val="en-US" w:eastAsia="zh-CN"/>
        </w:rPr>
        <w:t>-</w:t>
      </w:r>
      <w:r>
        <w:rPr>
          <w:rFonts w:hint="default" w:ascii="Times New Roman" w:hAnsi="Times New Roman" w:eastAsia="宋体" w:cs="Times New Roman"/>
          <w:color w:val="000000"/>
          <w:sz w:val="24"/>
          <w:szCs w:val="24"/>
          <w:highlight w:val="none"/>
          <w:lang w:val="en-US" w:eastAsia="zh-CN"/>
        </w:rPr>
        <w:t xml:space="preserve">以卡拉麦里自然保护区为例[J].新疆林业,2018(04):33-36.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 xml:space="preserve">[3] 阿勒泰·塔依巴扎尔,徐海量.两河源矿区修复措施及思路[J].新疆林业,2018(04):38-40.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4</w:t>
      </w:r>
      <w:r>
        <w:rPr>
          <w:rFonts w:hint="default" w:ascii="Times New Roman" w:hAnsi="Times New Roman" w:eastAsia="宋体" w:cs="Times New Roman"/>
          <w:color w:val="000000"/>
          <w:sz w:val="24"/>
          <w:szCs w:val="24"/>
          <w:highlight w:val="none"/>
          <w:lang w:val="en-US" w:eastAsia="zh-CN"/>
        </w:rPr>
        <w:t xml:space="preserve">] Sun YongXiu, Yan Cheng, Wei Y ana, et al. Influence of topsoil addition on species diversity and aboveground biomass of plant community on the damaged mined land in Altay, China[J]. Fresenius Environmental Bulletin, 2017, 26(3): 2214-2220.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lang w:val="en-US" w:eastAsia="zh-CN"/>
        </w:rPr>
        <w:t xml:space="preserve">] 孙永秀,严成,徐海量,姚艳丽.受损矿区草原群落物种多样性和地上生物量对覆土厚度的响应[J].草业学报,2017,26(01):54-62.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6</w:t>
      </w:r>
      <w:r>
        <w:rPr>
          <w:rFonts w:hint="default" w:ascii="Times New Roman" w:hAnsi="Times New Roman" w:eastAsia="宋体" w:cs="Times New Roman"/>
          <w:color w:val="000000"/>
          <w:sz w:val="24"/>
          <w:szCs w:val="24"/>
          <w:highlight w:val="none"/>
          <w:lang w:val="en-US" w:eastAsia="zh-CN"/>
        </w:rPr>
        <w:t xml:space="preserve">] 艾沙江·艾力,徐海量,苑塏烨.基于主成分分析法和监测数据的阿尔泰山采金废弃矿区人工恢复措施效益分析[J].干旱区地理,2019,42(02):288-294.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7</w:t>
      </w:r>
      <w:r>
        <w:rPr>
          <w:rFonts w:hint="default" w:ascii="Times New Roman" w:hAnsi="Times New Roman" w:eastAsia="宋体" w:cs="Times New Roman"/>
          <w:color w:val="000000"/>
          <w:sz w:val="24"/>
          <w:szCs w:val="24"/>
          <w:highlight w:val="none"/>
          <w:lang w:val="en-US" w:eastAsia="zh-CN"/>
        </w:rPr>
        <w:t>] 阿勒泰·塔依巴扎尔,韩尚平.阿尔泰山矿区生态恢复经验总结[J].新疆林业,2018(04):47-48.</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8</w:t>
      </w:r>
      <w:r>
        <w:rPr>
          <w:rFonts w:hint="default" w:ascii="Times New Roman" w:hAnsi="Times New Roman" w:eastAsia="宋体" w:cs="Times New Roman"/>
          <w:color w:val="000000"/>
          <w:sz w:val="24"/>
          <w:szCs w:val="24"/>
          <w:highlight w:val="none"/>
          <w:lang w:val="en-US" w:eastAsia="zh-CN"/>
        </w:rPr>
        <w:t xml:space="preserve">] 赵新风,徐海量,王希义,徐俏,苑塏烨,杨永强,张鹏.人工措施对阿尔泰山采金矿区地表的恢复作用[J].生态学杂志,2018,37(06):1628-1635.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9</w:t>
      </w:r>
      <w:r>
        <w:rPr>
          <w:rFonts w:hint="default" w:ascii="Times New Roman" w:hAnsi="Times New Roman" w:eastAsia="宋体" w:cs="Times New Roman"/>
          <w:color w:val="000000"/>
          <w:sz w:val="24"/>
          <w:szCs w:val="24"/>
          <w:highlight w:val="none"/>
          <w:lang w:val="en-US" w:eastAsia="zh-CN"/>
        </w:rPr>
        <w:t>] 王楚含,徐海量,徐福军,白玉锋,苑塏烨,赵新风.放牧对草地生态经济价值的影响</w:t>
      </w:r>
      <w:r>
        <w:rPr>
          <w:rFonts w:hint="eastAsia" w:ascii="Times New Roman" w:hAnsi="Times New Roman" w:eastAsia="宋体" w:cs="Times New Roman"/>
          <w:color w:val="000000"/>
          <w:sz w:val="24"/>
          <w:szCs w:val="24"/>
          <w:highlight w:val="none"/>
          <w:lang w:val="en-US" w:eastAsia="zh-CN"/>
        </w:rPr>
        <w:t>-</w:t>
      </w:r>
      <w:r>
        <w:rPr>
          <w:rFonts w:hint="default" w:ascii="Times New Roman" w:hAnsi="Times New Roman" w:eastAsia="宋体" w:cs="Times New Roman"/>
          <w:color w:val="000000"/>
          <w:sz w:val="24"/>
          <w:szCs w:val="24"/>
          <w:highlight w:val="none"/>
          <w:lang w:val="en-US" w:eastAsia="zh-CN"/>
        </w:rPr>
        <w:t>以新疆阿尔泰山两河源自然保护区为例[J].草地学报,2017,25(01):42-48.</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10</w:t>
      </w:r>
      <w:r>
        <w:rPr>
          <w:rFonts w:hint="default" w:ascii="Times New Roman" w:hAnsi="Times New Roman" w:eastAsia="宋体" w:cs="Times New Roman"/>
          <w:color w:val="000000"/>
          <w:sz w:val="24"/>
          <w:szCs w:val="24"/>
          <w:highlight w:val="none"/>
          <w:lang w:val="en-US" w:eastAsia="zh-CN"/>
        </w:rPr>
        <w:t xml:space="preserve">] 王楚含,徐海量,赵新风,苑塏烨.补水对采金废弃矿区恢复效益的影响[J].草业科学,2016,33(10):2126-2135.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11</w:t>
      </w:r>
      <w:r>
        <w:rPr>
          <w:rFonts w:hint="default" w:ascii="Times New Roman" w:hAnsi="Times New Roman" w:eastAsia="宋体" w:cs="Times New Roman"/>
          <w:color w:val="000000"/>
          <w:sz w:val="24"/>
          <w:szCs w:val="24"/>
          <w:highlight w:val="none"/>
          <w:lang w:val="en-US" w:eastAsia="zh-CN"/>
        </w:rPr>
        <w:t xml:space="preserve">] 苑塏烨,白玉锋,徐海量,徐福军,王楚含.阿尔泰山采金矿区植被恢复效果初探[J].土壤通报,2016,47(04):966-972.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12</w:t>
      </w:r>
      <w:r>
        <w:rPr>
          <w:rFonts w:hint="default" w:ascii="Times New Roman" w:hAnsi="Times New Roman" w:eastAsia="宋体" w:cs="Times New Roman"/>
          <w:color w:val="000000"/>
          <w:sz w:val="24"/>
          <w:szCs w:val="24"/>
          <w:highlight w:val="none"/>
          <w:lang w:val="en-US" w:eastAsia="zh-CN"/>
        </w:rPr>
        <w:t>] 许佳,祝晓瞳,苑塏烨. 额河源流采金矿区不同恢复措施对矿区物种多样性和地上生物量的影响[J]. 干旱区地理, 2019, v.42;No.185(03):125-133.</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val="en-US" w:eastAsia="zh-CN"/>
        </w:rPr>
        <w:t>3</w:t>
      </w:r>
      <w:r>
        <w:rPr>
          <w:rFonts w:hint="default" w:ascii="Times New Roman" w:hAnsi="Times New Roman" w:eastAsia="宋体" w:cs="Times New Roman"/>
          <w:color w:val="000000"/>
          <w:sz w:val="24"/>
          <w:szCs w:val="24"/>
          <w:highlight w:val="none"/>
          <w:lang w:val="en-US" w:eastAsia="zh-CN"/>
        </w:rPr>
        <w:t>]徐福军, 徐海量. 完善《自治区自然保护区管理条例》的建议[J]. 新疆林业, 2018, 260(04):14-16.</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val="en-US" w:eastAsia="zh-CN"/>
        </w:rPr>
        <w:t>4</w:t>
      </w:r>
      <w:r>
        <w:rPr>
          <w:rFonts w:hint="default" w:ascii="Times New Roman" w:hAnsi="Times New Roman" w:eastAsia="宋体" w:cs="Times New Roman"/>
          <w:color w:val="000000"/>
          <w:sz w:val="24"/>
          <w:szCs w:val="24"/>
          <w:highlight w:val="none"/>
          <w:lang w:val="en-US" w:eastAsia="zh-CN"/>
        </w:rPr>
        <w:t>]叶茂. 阿尔泰山生态因子变化研究[J]. 新疆林业, 2018, 260(04):33-35.</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val="en-US" w:eastAsia="zh-CN"/>
        </w:rPr>
        <w:t>5</w:t>
      </w:r>
      <w:r>
        <w:rPr>
          <w:rFonts w:hint="default" w:ascii="Times New Roman" w:hAnsi="Times New Roman" w:eastAsia="宋体" w:cs="Times New Roman"/>
          <w:color w:val="000000"/>
          <w:sz w:val="24"/>
          <w:szCs w:val="24"/>
          <w:highlight w:val="none"/>
          <w:lang w:val="en-US" w:eastAsia="zh-CN"/>
        </w:rPr>
        <w:t>]阿勒泰·塔依巴扎尔. 阿尔泰山土地退化问题分析[J]. 新疆林业, 2018, No.260(04):13-15.</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16</w:t>
      </w:r>
      <w:r>
        <w:rPr>
          <w:rFonts w:hint="default" w:ascii="Times New Roman" w:hAnsi="Times New Roman" w:eastAsia="宋体" w:cs="Times New Roman"/>
          <w:color w:val="000000"/>
          <w:sz w:val="24"/>
          <w:szCs w:val="24"/>
          <w:highlight w:val="none"/>
          <w:lang w:val="en-US" w:eastAsia="zh-CN"/>
        </w:rPr>
        <w:t>]姚艳丽, 严成, 徐海量. 库尔木图矿区植被恢复研究[J]. 新疆林业, 2015, 000(003):9-10.</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val="en-US" w:eastAsia="zh-CN"/>
        </w:rPr>
        <w:t>7</w:t>
      </w:r>
      <w:r>
        <w:rPr>
          <w:rFonts w:hint="default" w:ascii="Times New Roman" w:hAnsi="Times New Roman" w:eastAsia="宋体" w:cs="Times New Roman"/>
          <w:color w:val="000000"/>
          <w:sz w:val="24"/>
          <w:szCs w:val="24"/>
          <w:highlight w:val="none"/>
          <w:lang w:val="en-US" w:eastAsia="zh-CN"/>
        </w:rPr>
        <w:t>]徐海量、苑塏烨、徐俏. 干旱区生态修复的实践——以古尔班通古特沙漠为例[J]. 科学, 2020, v.72(06):4+18-22.</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[1</w:t>
      </w:r>
      <w:r>
        <w:rPr>
          <w:rFonts w:hint="eastAsia" w:ascii="Times New Roman" w:hAnsi="Times New Roman" w:eastAsia="宋体" w:cs="Times New Roman"/>
          <w:color w:val="000000"/>
          <w:sz w:val="24"/>
          <w:szCs w:val="24"/>
          <w:highlight w:val="none"/>
          <w:lang w:val="en-US" w:eastAsia="zh-CN"/>
        </w:rPr>
        <w:t>8</w:t>
      </w:r>
      <w:r>
        <w:rPr>
          <w:rFonts w:hint="default" w:ascii="Times New Roman" w:hAnsi="Times New Roman" w:eastAsia="宋体" w:cs="Times New Roman"/>
          <w:color w:val="000000"/>
          <w:sz w:val="24"/>
          <w:szCs w:val="24"/>
          <w:highlight w:val="none"/>
          <w:lang w:val="en-US" w:eastAsia="zh-CN"/>
        </w:rPr>
        <w:t>]徐福军, 叶茂. 阿尔泰山草地过度放牧的动力机制分析[J]. 当代畜牧, 2018, 434(30):37-41.</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19</w:t>
      </w:r>
      <w:r>
        <w:rPr>
          <w:rFonts w:hint="default" w:ascii="Times New Roman" w:hAnsi="Times New Roman" w:eastAsia="宋体" w:cs="Times New Roman"/>
          <w:color w:val="000000"/>
          <w:sz w:val="24"/>
          <w:szCs w:val="24"/>
          <w:highlight w:val="none"/>
          <w:lang w:val="en-US" w:eastAsia="zh-CN"/>
        </w:rPr>
        <w:t>]周泉, 叶茂. 不同地形条件对落叶松云杉混交林建群种共存机制的影响[J]. 广东农业科学, 2020, v.47(02):51-59.</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20</w:t>
      </w:r>
      <w:r>
        <w:rPr>
          <w:rFonts w:hint="default" w:ascii="Times New Roman" w:hAnsi="Times New Roman" w:eastAsia="宋体" w:cs="Times New Roman"/>
          <w:color w:val="000000"/>
          <w:sz w:val="24"/>
          <w:szCs w:val="24"/>
          <w:highlight w:val="none"/>
          <w:lang w:val="en-US" w:eastAsia="zh-CN"/>
        </w:rPr>
        <w:t>]周泉， 叶茂， 赵凡凡</w:t>
      </w:r>
      <w:r>
        <w:rPr>
          <w:rFonts w:hint="eastAsia" w:ascii="Times New Roman" w:hAnsi="Times New Roman" w:eastAsia="宋体" w:cs="Times New Roman"/>
          <w:color w:val="000000"/>
          <w:sz w:val="24"/>
          <w:szCs w:val="24"/>
          <w:highlight w:val="none"/>
          <w:lang w:val="en-US" w:eastAsia="zh-CN"/>
        </w:rPr>
        <w:t>.基于VOR模型的阿尔泰山林区森林生态系统健康评价</w:t>
      </w:r>
      <w:r>
        <w:rPr>
          <w:rFonts w:hint="default" w:ascii="Times New Roman" w:hAnsi="Times New Roman" w:eastAsia="宋体" w:cs="Times New Roman"/>
          <w:color w:val="000000"/>
          <w:sz w:val="24"/>
          <w:szCs w:val="24"/>
          <w:highlight w:val="none"/>
          <w:lang w:val="en-US" w:eastAsia="zh-CN"/>
        </w:rPr>
        <w:t>[J]. 甘肃农业大学学报, 202</w:t>
      </w:r>
      <w:r>
        <w:rPr>
          <w:rFonts w:hint="eastAsia" w:ascii="Times New Roman" w:hAnsi="Times New Roman" w:eastAsia="宋体" w:cs="Times New Roman"/>
          <w:color w:val="000000"/>
          <w:sz w:val="24"/>
          <w:szCs w:val="24"/>
          <w:highlight w:val="none"/>
          <w:lang w:val="en-US" w:eastAsia="zh-CN"/>
        </w:rPr>
        <w:t>1</w:t>
      </w:r>
      <w:r>
        <w:rPr>
          <w:rFonts w:hint="default" w:ascii="Times New Roman" w:hAnsi="Times New Roman" w:eastAsia="宋体" w:cs="Times New Roman"/>
          <w:color w:val="000000"/>
          <w:sz w:val="24"/>
          <w:szCs w:val="24"/>
          <w:highlight w:val="none"/>
          <w:lang w:val="en-US" w:eastAsia="zh-CN"/>
        </w:rPr>
        <w:t xml:space="preserve">, </w:t>
      </w:r>
      <w:r>
        <w:rPr>
          <w:rFonts w:hint="eastAsia" w:ascii="Times New Roman" w:hAnsi="Times New Roman" w:eastAsia="宋体" w:cs="Times New Roman"/>
          <w:color w:val="000000"/>
          <w:sz w:val="24"/>
          <w:szCs w:val="24"/>
          <w:highlight w:val="none"/>
          <w:lang w:val="en-US" w:eastAsia="zh-CN"/>
        </w:rPr>
        <w:t>03(018)</w:t>
      </w: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137</w:t>
      </w: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148</w:t>
      </w:r>
      <w:r>
        <w:rPr>
          <w:rFonts w:hint="default" w:ascii="Times New Roman" w:hAnsi="Times New Roman" w:eastAsia="宋体" w:cs="Times New Roman"/>
          <w:color w:val="000000"/>
          <w:sz w:val="24"/>
          <w:szCs w:val="24"/>
          <w:highlight w:val="none"/>
          <w:lang w:val="en-US"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21</w:t>
      </w:r>
      <w:r>
        <w:rPr>
          <w:rFonts w:hint="default" w:ascii="Times New Roman" w:hAnsi="Times New Roman" w:eastAsia="宋体" w:cs="Times New Roman"/>
          <w:color w:val="000000"/>
          <w:sz w:val="24"/>
          <w:szCs w:val="24"/>
          <w:highlight w:val="none"/>
          <w:lang w:val="en-US" w:eastAsia="zh-CN"/>
        </w:rPr>
        <w:t>]李金</w:t>
      </w:r>
      <w:r>
        <w:rPr>
          <w:rFonts w:hint="eastAsia" w:ascii="Times New Roman" w:hAnsi="Times New Roman" w:eastAsia="宋体" w:cs="Times New Roman"/>
          <w:color w:val="000000"/>
          <w:sz w:val="24"/>
          <w:szCs w:val="24"/>
          <w:highlight w:val="none"/>
          <w:lang w:val="en-US" w:eastAsia="zh-CN"/>
        </w:rPr>
        <w:t>，</w:t>
      </w:r>
      <w:r>
        <w:rPr>
          <w:rFonts w:hint="default" w:ascii="Times New Roman" w:hAnsi="Times New Roman" w:eastAsia="宋体" w:cs="Times New Roman"/>
          <w:color w:val="000000"/>
          <w:sz w:val="24"/>
          <w:szCs w:val="24"/>
          <w:highlight w:val="none"/>
          <w:lang w:val="en-US" w:eastAsia="zh-CN"/>
        </w:rPr>
        <w:t xml:space="preserve"> 徐海量, 赵新风,徐俏. 阿勒泰小克兰河上游植物群落的垂直分布格局及环境分析[J]. 环境监测管理与技术, 32(4):6.</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22</w:t>
      </w:r>
      <w:r>
        <w:rPr>
          <w:rFonts w:hint="default" w:ascii="Times New Roman" w:hAnsi="Times New Roman" w:eastAsia="宋体" w:cs="Times New Roman"/>
          <w:color w:val="000000"/>
          <w:sz w:val="24"/>
          <w:szCs w:val="24"/>
          <w:highlight w:val="none"/>
          <w:lang w:val="en-US" w:eastAsia="zh-CN"/>
        </w:rPr>
        <w:t xml:space="preserve">]Zhao Shanchao, Pan Cunde. 2020. Spectral parameter-based models for foliar potassium concentration estimation in Ping'ou hybrid hazelnut[J]. Journal of Arid Land, 12(6):1083–1092.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lang w:val="en-US" w:eastAsia="zh-CN"/>
        </w:rPr>
        <w:t>[</w:t>
      </w:r>
      <w:r>
        <w:rPr>
          <w:rFonts w:hint="eastAsia" w:ascii="Times New Roman" w:hAnsi="Times New Roman" w:eastAsia="宋体" w:cs="Times New Roman"/>
          <w:color w:val="000000"/>
          <w:sz w:val="24"/>
          <w:szCs w:val="24"/>
          <w:highlight w:val="none"/>
          <w:lang w:val="en-US" w:eastAsia="zh-CN"/>
        </w:rPr>
        <w:t>23</w:t>
      </w:r>
      <w:r>
        <w:rPr>
          <w:rFonts w:hint="default" w:ascii="Times New Roman" w:hAnsi="Times New Roman" w:eastAsia="宋体" w:cs="Times New Roman"/>
          <w:color w:val="000000"/>
          <w:sz w:val="24"/>
          <w:szCs w:val="24"/>
          <w:highlight w:val="none"/>
          <w:lang w:val="en-US" w:eastAsia="zh-CN"/>
        </w:rPr>
        <w:t>]赵善超. 生态文明永续,绿水青山常在</w:t>
      </w:r>
      <w:r>
        <w:rPr>
          <w:rFonts w:hint="eastAsia" w:ascii="Times New Roman" w:hAnsi="Times New Roman" w:eastAsia="宋体" w:cs="Times New Roman"/>
          <w:color w:val="000000"/>
          <w:sz w:val="24"/>
          <w:szCs w:val="24"/>
          <w:highlight w:val="none"/>
          <w:lang w:val="en-US" w:eastAsia="zh-CN"/>
        </w:rPr>
        <w:t>-</w:t>
      </w:r>
      <w:r>
        <w:rPr>
          <w:rFonts w:hint="default" w:ascii="Times New Roman" w:hAnsi="Times New Roman" w:eastAsia="宋体" w:cs="Times New Roman"/>
          <w:color w:val="000000"/>
          <w:sz w:val="24"/>
          <w:szCs w:val="24"/>
          <w:highlight w:val="none"/>
          <w:lang w:val="en-US" w:eastAsia="zh-CN"/>
        </w:rPr>
        <w:t>浅谈新疆天然林保护修复[J]. 新疆林业, 2020(05): 27-29.</w:t>
      </w:r>
    </w:p>
    <w:p>
      <w:pPr>
        <w:rPr>
          <w:rFonts w:hint="eastAsia" w:ascii="方正仿宋简体" w:hAnsi="仿宋" w:eastAsia="方正仿宋简体" w:cs="仿宋"/>
          <w:color w:val="000000"/>
          <w:sz w:val="30"/>
          <w:szCs w:val="30"/>
          <w:highlight w:val="none"/>
        </w:rPr>
      </w:pPr>
      <w:r>
        <w:rPr>
          <w:rFonts w:hint="eastAsia" w:ascii="方正仿宋简体" w:hAnsi="仿宋" w:eastAsia="方正仿宋简体" w:cs="仿宋"/>
          <w:color w:val="000000"/>
          <w:sz w:val="30"/>
          <w:szCs w:val="30"/>
          <w:highlight w:val="none"/>
        </w:rPr>
        <w:t>专著1部：</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徐福军,徐海量,阿勒泰•塔尔巴扎尔,等. 阿勒泰地区矿区修复技术集成与模式研究[M]北京:中国林业出版社, 2019</w:t>
      </w:r>
      <w:r>
        <w:rPr>
          <w:rFonts w:hint="default" w:ascii="Times New Roman" w:hAnsi="Times New Roman" w:eastAsia="宋体" w:cs="Times New Roman"/>
          <w:color w:val="000000"/>
          <w:sz w:val="24"/>
          <w:szCs w:val="24"/>
          <w:highlight w:val="none"/>
        </w:rPr>
        <w:t>,ISBN 978-7-5038-9972-0.</w:t>
      </w:r>
    </w:p>
    <w:p>
      <w:pPr>
        <w:spacing w:line="520" w:lineRule="exact"/>
        <w:ind w:firstLine="560" w:firstLineChars="200"/>
        <w:rPr>
          <w:rFonts w:hint="eastAsia"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五、主要完成人、完成单位及创新推广贡献</w:t>
      </w:r>
    </w:p>
    <w:p>
      <w:pPr>
        <w:spacing w:line="520" w:lineRule="exact"/>
        <w:rPr>
          <w:rFonts w:ascii="方正仿宋简体" w:hAnsi="仿宋" w:eastAsia="方正仿宋简体" w:cs="仿宋"/>
          <w:b/>
          <w:color w:val="000000"/>
          <w:sz w:val="30"/>
          <w:szCs w:val="30"/>
          <w:highlight w:val="none"/>
        </w:rPr>
      </w:pPr>
    </w:p>
    <w:tbl>
      <w:tblPr>
        <w:tblStyle w:val="8"/>
        <w:tblW w:w="595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58"/>
        <w:gridCol w:w="881"/>
        <w:gridCol w:w="1573"/>
        <w:gridCol w:w="1429"/>
        <w:gridCol w:w="55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0" w:hRule="atLeast"/>
          <w:jc w:val="center"/>
        </w:trPr>
        <w:tc>
          <w:tcPr>
            <w:tcW w:w="374" w:type="pct"/>
            <w:vAlign w:val="center"/>
          </w:tcPr>
          <w:p>
            <w:pPr>
              <w:spacing w:line="288"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序号</w:t>
            </w:r>
          </w:p>
        </w:tc>
        <w:tc>
          <w:tcPr>
            <w:tcW w:w="434" w:type="pct"/>
            <w:vAlign w:val="center"/>
          </w:tcPr>
          <w:p>
            <w:pPr>
              <w:spacing w:line="288"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姓名</w:t>
            </w:r>
          </w:p>
        </w:tc>
        <w:tc>
          <w:tcPr>
            <w:tcW w:w="775" w:type="pct"/>
            <w:vAlign w:val="center"/>
          </w:tcPr>
          <w:p>
            <w:pPr>
              <w:spacing w:line="288"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职称</w:t>
            </w:r>
          </w:p>
        </w:tc>
        <w:tc>
          <w:tcPr>
            <w:tcW w:w="704" w:type="pct"/>
            <w:vAlign w:val="center"/>
          </w:tcPr>
          <w:p>
            <w:pPr>
              <w:spacing w:line="288"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工作单位</w:t>
            </w:r>
          </w:p>
        </w:tc>
        <w:tc>
          <w:tcPr>
            <w:tcW w:w="2711" w:type="pct"/>
            <w:vAlign w:val="center"/>
          </w:tcPr>
          <w:p>
            <w:pPr>
              <w:spacing w:line="288" w:lineRule="auto"/>
              <w:jc w:val="center"/>
              <w:rPr>
                <w:rFonts w:hint="eastAsia" w:ascii="宋体" w:hAnsi="宋体" w:eastAsia="宋体" w:cs="宋体"/>
                <w:b/>
                <w:color w:val="000000" w:themeColor="text1"/>
                <w:sz w:val="21"/>
                <w:szCs w:val="21"/>
                <w:highlight w:val="none"/>
                <w14:textFill>
                  <w14:solidFill>
                    <w14:schemeClr w14:val="tx1"/>
                  </w14:solidFill>
                </w14:textFill>
              </w:rPr>
            </w:pPr>
            <w:r>
              <w:rPr>
                <w:rFonts w:hint="eastAsia" w:ascii="宋体" w:hAnsi="宋体" w:eastAsia="宋体" w:cs="宋体"/>
                <w:b/>
                <w:color w:val="000000" w:themeColor="text1"/>
                <w:sz w:val="21"/>
                <w:szCs w:val="21"/>
                <w:highlight w:val="none"/>
                <w14:textFill>
                  <w14:solidFill>
                    <w14:schemeClr w14:val="tx1"/>
                  </w14:solidFill>
                </w14:textFill>
              </w:rPr>
              <w:t>对成果创造性贡献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1</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fldChar w:fldCharType="begin"/>
            </w:r>
            <w:r>
              <w:rPr>
                <w:rFonts w:hint="eastAsia"/>
                <w:bCs/>
                <w:color w:val="000000" w:themeColor="text1"/>
                <w:sz w:val="21"/>
                <w:szCs w:val="21"/>
                <w:highlight w:val="none"/>
                <w14:textFill>
                  <w14:solidFill>
                    <w14:schemeClr w14:val="tx1"/>
                  </w14:solidFill>
                </w14:textFill>
              </w:rPr>
              <w:instrText xml:space="preserve"> HYPERLINK "https://xt.xjkjcgw.com/kdw/general/fruit/edit/javascript:void(0)" </w:instrText>
            </w:r>
            <w:r>
              <w:rPr>
                <w:rFonts w:hint="eastAsia"/>
                <w:bCs/>
                <w:color w:val="000000" w:themeColor="text1"/>
                <w:sz w:val="21"/>
                <w:szCs w:val="21"/>
                <w:highlight w:val="none"/>
                <w14:textFill>
                  <w14:solidFill>
                    <w14:schemeClr w14:val="tx1"/>
                  </w14:solidFill>
                </w14:textFill>
              </w:rPr>
              <w:fldChar w:fldCharType="separate"/>
            </w:r>
            <w:r>
              <w:rPr>
                <w:rFonts w:hint="eastAsia"/>
                <w:bCs/>
                <w:color w:val="000000" w:themeColor="text1"/>
                <w:sz w:val="21"/>
                <w:szCs w:val="21"/>
                <w:highlight w:val="none"/>
                <w14:textFill>
                  <w14:solidFill>
                    <w14:schemeClr w14:val="tx1"/>
                  </w14:solidFill>
                </w14:textFill>
              </w:rPr>
              <w:t xml:space="preserve">徐福军 </w:t>
            </w:r>
            <w:r>
              <w:rPr>
                <w:rFonts w:hint="eastAsia"/>
                <w:bCs/>
                <w:color w:val="000000" w:themeColor="text1"/>
                <w:sz w:val="21"/>
                <w:szCs w:val="21"/>
                <w:highlight w:val="none"/>
                <w14:textFill>
                  <w14:solidFill>
                    <w14:schemeClr w14:val="tx1"/>
                  </w14:solidFill>
                </w14:textFill>
              </w:rPr>
              <w:fldChar w:fldCharType="end"/>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高级工程师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新疆维吾尔自治区阿尔泰山国有林管理局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项目技术负责人，指挥现场施工。制定最小干扰放坡、最低覆土厚度等低成本施工方案，提出引洪灌溉，羊群驻扎，泥浆羊粪种子混合喷洒，微地形营造，山野菜、中药材等目标群落培育等关键技术措施并现场实施。项目完成后开展技术成果推广，在新疆额尔齐斯河流域山水林田湖草生态保护与修复项目中担任专家，负责矿区生态修复的技术指导。</w:t>
            </w:r>
            <w:r>
              <w:rPr>
                <w:rFonts w:hint="eastAsia"/>
                <w:bCs/>
                <w:color w:val="000000" w:themeColor="text1"/>
                <w:sz w:val="21"/>
                <w:szCs w:val="21"/>
                <w:highlight w:val="none"/>
                <w:lang w:val="en-US" w:eastAsia="zh-CN"/>
                <w14:textFill>
                  <w14:solidFill>
                    <w14:schemeClr w14:val="tx1"/>
                  </w14:solidFill>
                </w14:textFill>
              </w:rPr>
              <w:t>以第一作者身份发表专利一项（201711456857.4），《</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阿勒泰地区矿区修复技术集成与模式研究</w:t>
            </w:r>
            <w:r>
              <w:rPr>
                <w:rFonts w:hint="eastAsia"/>
                <w:bCs/>
                <w:color w:val="000000" w:themeColor="text1"/>
                <w:sz w:val="21"/>
                <w:szCs w:val="21"/>
                <w:highlight w:val="none"/>
                <w:lang w:val="en-US" w:eastAsia="zh-CN"/>
                <w14:textFill>
                  <w14:solidFill>
                    <w14:schemeClr w14:val="tx1"/>
                  </w14:solidFill>
                </w14:textFill>
              </w:rPr>
              <w:t>》著作一部，两篇文章</w:t>
            </w:r>
            <w:r>
              <w:rPr>
                <w:rFonts w:hint="eastAsia" w:ascii="Times New Roman" w:hAnsi="Times New Roman" w:cs="Times New Roman"/>
                <w:bCs/>
                <w:color w:val="000000" w:themeColor="text1"/>
                <w:sz w:val="21"/>
                <w:szCs w:val="21"/>
                <w:highlight w:val="none"/>
                <w:lang w:val="en-US" w:eastAsia="zh-CN"/>
                <w14:textFill>
                  <w14:solidFill>
                    <w14:schemeClr w14:val="tx1"/>
                  </w14:solidFill>
                </w14:textFill>
              </w:rPr>
              <w:t>（</w:t>
            </w:r>
            <w:r>
              <w:rPr>
                <w:rFonts w:hint="default" w:ascii="Times New Roman" w:hAnsi="Times New Roman" w:cs="Times New Roman"/>
                <w:bCs/>
                <w:color w:val="000000" w:themeColor="text1"/>
                <w:sz w:val="21"/>
                <w:szCs w:val="21"/>
                <w:highlight w:val="none"/>
                <w:lang w:val="en-US" w:eastAsia="zh-CN"/>
                <w14:textFill>
                  <w14:solidFill>
                    <w14:schemeClr w14:val="tx1"/>
                  </w14:solidFill>
                </w14:textFill>
              </w:rPr>
              <w:t>完善《</w:t>
            </w:r>
            <w:r>
              <w:rPr>
                <w:rFonts w:hint="default" w:ascii="Times New Roman" w:hAnsi="Times New Roman" w:eastAsia="宋体" w:cs="Times New Roman"/>
                <w:b w:val="0"/>
                <w:bCs w:val="0"/>
                <w:color w:val="000000" w:themeColor="text1"/>
                <w:kern w:val="2"/>
                <w:sz w:val="21"/>
                <w:szCs w:val="21"/>
                <w:highlight w:val="none"/>
                <w:lang w:val="en-US" w:eastAsia="zh-CN" w:bidi="ar-SA"/>
                <w14:textFill>
                  <w14:solidFill>
                    <w14:schemeClr w14:val="tx1"/>
                  </w14:solidFill>
                </w14:textFill>
              </w:rPr>
              <w:t>自治区自然保护区管理条例》的建议</w:t>
            </w:r>
            <w:r>
              <w:rPr>
                <w:rFonts w:hint="eastAsia" w:ascii="Times New Roman" w:hAnsi="Times New Roman" w:eastAsia="宋体" w:cs="Times New Roman"/>
                <w:b w:val="0"/>
                <w:bCs w:val="0"/>
                <w:color w:val="000000" w:themeColor="text1"/>
                <w:kern w:val="2"/>
                <w:sz w:val="21"/>
                <w:szCs w:val="21"/>
                <w:highlight w:val="none"/>
                <w:lang w:val="en-US" w:eastAsia="zh-CN" w:bidi="ar-SA"/>
                <w14:textFill>
                  <w14:solidFill>
                    <w14:schemeClr w14:val="tx1"/>
                  </w14:solidFill>
                </w14:textFill>
              </w:rPr>
              <w:t>，</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阿尔泰山草地过度放牧的动力机制分析</w:t>
            </w:r>
            <w:r>
              <w:rPr>
                <w:rFonts w:hint="eastAsia"/>
                <w:bCs/>
                <w:color w:val="000000" w:themeColor="text1"/>
                <w:sz w:val="2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2</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阿勒泰·塔依巴扎尔</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高级工程师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新疆维吾尔自治区阿尔泰山国有林管理局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作为项目组织与决策人，申请并实施了多个湿地、矿区生态修复财政项目，并在总结前期修复经验教训的基础上，提出地形修复、少量覆土、浆果林营造、自然落种补充、封禁育林等关键技术。</w:t>
            </w:r>
            <w:r>
              <w:rPr>
                <w:rFonts w:hint="eastAsia"/>
                <w:bCs/>
                <w:color w:val="000000" w:themeColor="text1"/>
                <w:sz w:val="21"/>
                <w:szCs w:val="21"/>
                <w:highlight w:val="none"/>
                <w:lang w:val="en-US" w:eastAsia="zh-CN"/>
                <w14:textFill>
                  <w14:solidFill>
                    <w14:schemeClr w14:val="tx1"/>
                  </w14:solidFill>
                </w14:textFill>
              </w:rPr>
              <w:t>以第一作者身份发表3篇文章（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两河源矿区修复措施及思路</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阿尔泰山矿区生态恢复经验总结</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阿尔泰山土地退化问题分析</w:t>
            </w:r>
            <w:r>
              <w:rPr>
                <w:rFonts w:hint="eastAsia"/>
                <w:bCs/>
                <w:color w:val="000000" w:themeColor="text1"/>
                <w:sz w:val="21"/>
                <w:szCs w:val="21"/>
                <w:highlight w:val="none"/>
                <w:lang w:val="en-US" w:eastAsia="zh-CN"/>
                <w14:textFill>
                  <w14:solidFill>
                    <w14:schemeClr w14:val="tx1"/>
                  </w14:solidFill>
                </w14:textFill>
              </w:rPr>
              <w:t>）。以第2作者身份完成《</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阿勒泰地区矿区修复技术集成与模式研究</w:t>
            </w:r>
            <w:r>
              <w:rPr>
                <w:rFonts w:hint="eastAsia"/>
                <w:bCs/>
                <w:color w:val="000000" w:themeColor="text1"/>
                <w:sz w:val="21"/>
                <w:szCs w:val="21"/>
                <w:highlight w:val="none"/>
                <w:lang w:val="en-US" w:eastAsia="zh-CN"/>
                <w14:textFill>
                  <w14:solidFill>
                    <w14:schemeClr w14:val="tx1"/>
                  </w14:solidFill>
                </w14:textFill>
              </w:rPr>
              <w:t>》著作一部。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eastAsia" w:ascii="宋体" w:hAnsi="宋体" w:eastAsia="宋体" w:cs="宋体"/>
                <w:bCs/>
                <w:color w:val="000000" w:themeColor="text1"/>
                <w:kern w:val="2"/>
                <w:sz w:val="21"/>
                <w:szCs w:val="21"/>
                <w:highlight w:val="none"/>
                <w:lang w:val="en-US" w:eastAsia="zh-CN" w:bidi="ar-SA"/>
                <w14:textFill>
                  <w14:solidFill>
                    <w14:schemeClr w14:val="tx1"/>
                  </w14:solidFill>
                </w14:textFill>
              </w:rPr>
            </w:pPr>
            <w:r>
              <w:rPr>
                <w:rFonts w:hint="eastAsia" w:ascii="宋体" w:hAnsi="宋体" w:cs="宋体"/>
                <w:bCs/>
                <w:color w:val="000000" w:themeColor="text1"/>
                <w:szCs w:val="21"/>
                <w:highlight w:val="none"/>
                <w14:textFill>
                  <w14:solidFill>
                    <w14:schemeClr w14:val="tx1"/>
                  </w14:solidFill>
                </w14:textFill>
              </w:rPr>
              <w:t>3</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赵善超</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lang w:val="en-US" w:eastAsia="zh-CN"/>
                <w14:textFill>
                  <w14:solidFill>
                    <w14:schemeClr w14:val="tx1"/>
                  </w14:solidFill>
                </w14:textFill>
              </w:rPr>
              <w:t>新疆维吾尔自治区天然林保护中心（自治区森林公园管理中心）</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作为项目</w:t>
            </w:r>
            <w:r>
              <w:rPr>
                <w:rFonts w:hint="eastAsia"/>
                <w:bCs/>
                <w:color w:val="000000" w:themeColor="text1"/>
                <w:sz w:val="21"/>
                <w:szCs w:val="21"/>
                <w:highlight w:val="none"/>
                <w:lang w:val="en-US" w:eastAsia="zh-CN"/>
                <w14:textFill>
                  <w14:solidFill>
                    <w14:schemeClr w14:val="tx1"/>
                  </w14:solidFill>
                </w14:textFill>
              </w:rPr>
              <w:t>主要完成人</w:t>
            </w:r>
            <w:r>
              <w:rPr>
                <w:rFonts w:hint="eastAsia"/>
                <w:bCs/>
                <w:color w:val="000000" w:themeColor="text1"/>
                <w:sz w:val="21"/>
                <w:szCs w:val="21"/>
                <w:highlight w:val="none"/>
                <w14:textFill>
                  <w14:solidFill>
                    <w14:schemeClr w14:val="tx1"/>
                  </w14:solidFill>
                </w14:textFill>
              </w:rPr>
              <w:t>，</w:t>
            </w:r>
            <w:r>
              <w:rPr>
                <w:rFonts w:hint="eastAsia"/>
                <w:bCs/>
                <w:color w:val="000000" w:themeColor="text1"/>
                <w:sz w:val="21"/>
                <w:szCs w:val="21"/>
                <w:highlight w:val="none"/>
                <w:lang w:val="en-US" w:eastAsia="zh-CN"/>
                <w14:textFill>
                  <w14:solidFill>
                    <w14:schemeClr w14:val="tx1"/>
                  </w14:solidFill>
                </w14:textFill>
              </w:rPr>
              <w:t>对项目思路和方向总体把关，在项目实施后对技术成果推广起到重要作用。并撰写、发表相关文章、专利等。以第一作者身份发表3篇文章（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Spectral parameter-based models for foliar potassium concentration estimation in Ping'ou hybrid hazelnut</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Spectral characteristic parameter-based models for Foliar phosphorus Concentration Estimation of Ping′ou Hybrid Hazelnut</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生态文明永续,绿水青山常在</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浅谈新疆天然林保护修复</w:t>
            </w:r>
            <w:r>
              <w:rPr>
                <w:rFonts w:hint="eastAsia"/>
                <w:bCs/>
                <w:color w:val="000000" w:themeColor="text1"/>
                <w:sz w:val="21"/>
                <w:szCs w:val="21"/>
                <w:highlight w:val="none"/>
                <w:lang w:val="en-US" w:eastAsia="zh-CN"/>
                <w14:textFill>
                  <w14:solidFill>
                    <w14:schemeClr w14:val="tx1"/>
                  </w14:solidFill>
                </w14:textFill>
              </w:rPr>
              <w:t>），参与完成地方标准制定（</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 xml:space="preserve">DB 65/T 4253—2019 </w:t>
            </w:r>
            <w:r>
              <w:rPr>
                <w:rFonts w:hint="eastAsia"/>
                <w:bCs/>
                <w:color w:val="000000" w:themeColor="text1"/>
                <w:sz w:val="21"/>
                <w:szCs w:val="21"/>
                <w:highlight w:val="none"/>
                <w:lang w:val="en-US" w:eastAsia="zh-CN"/>
                <w14:textFill>
                  <w14:solidFill>
                    <w14:schemeClr w14:val="tx1"/>
                  </w14:solidFill>
                </w14:textFill>
              </w:rPr>
              <w:t>），参与发表专利一项（</w:t>
            </w:r>
            <w:r>
              <w:rPr>
                <w:rFonts w:hint="eastAsia" w:ascii="Times New Roman" w:hAnsi="Times New Roman" w:eastAsia="宋体" w:cs="Times New Roman"/>
                <w:b w:val="0"/>
                <w:bCs w:val="0"/>
                <w:color w:val="000000" w:themeColor="text1"/>
                <w:sz w:val="24"/>
                <w:szCs w:val="24"/>
                <w:highlight w:val="none"/>
                <w:lang w:val="en-US" w:eastAsia="zh-CN"/>
                <w14:textFill>
                  <w14:solidFill>
                    <w14:schemeClr w14:val="tx1"/>
                  </w14:solidFill>
                </w14:textFill>
              </w:rPr>
              <w:t>2020SR0524321</w:t>
            </w:r>
            <w:r>
              <w:rPr>
                <w:rFonts w:hint="eastAsia"/>
                <w:bCs/>
                <w:color w:val="000000" w:themeColor="text1"/>
                <w:sz w:val="2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4</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苑塏烨</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博士生</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中国科学院新疆生态与地理研究所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w:t>
            </w:r>
            <w:r>
              <w:rPr>
                <w:rFonts w:hint="eastAsia"/>
                <w:bCs/>
                <w:color w:val="000000" w:themeColor="text1"/>
                <w:sz w:val="21"/>
                <w:szCs w:val="21"/>
                <w:highlight w:val="none"/>
                <w:lang w:val="en-US" w:eastAsia="zh-CN"/>
                <w14:textFill>
                  <w14:solidFill>
                    <w14:schemeClr w14:val="tx1"/>
                  </w14:solidFill>
                </w14:textFill>
              </w:rPr>
              <w:t>完成</w:t>
            </w:r>
            <w:r>
              <w:rPr>
                <w:rFonts w:hint="eastAsia"/>
                <w:bCs/>
                <w:color w:val="000000" w:themeColor="text1"/>
                <w:sz w:val="21"/>
                <w:szCs w:val="21"/>
                <w:highlight w:val="none"/>
                <w14:textFill>
                  <w14:solidFill>
                    <w14:schemeClr w14:val="tx1"/>
                  </w14:solidFill>
                </w14:textFill>
              </w:rPr>
              <w:t>人，主要负责揭示废弃矿区生态受损的原因和机理，结合治理区立地条件，布置成本低、操作性强、有效益、人工少干扰的生态恢复工作，并评估各恢复技术模式的生态系统恢复成效。</w:t>
            </w:r>
            <w:r>
              <w:rPr>
                <w:rFonts w:hint="eastAsia"/>
                <w:bCs/>
                <w:color w:val="000000" w:themeColor="text1"/>
                <w:sz w:val="21"/>
                <w:szCs w:val="21"/>
                <w:highlight w:val="none"/>
                <w:lang w:val="en-US" w:eastAsia="zh-CN"/>
                <w14:textFill>
                  <w14:solidFill>
                    <w14:schemeClr w14:val="tx1"/>
                  </w14:solidFill>
                </w14:textFill>
              </w:rPr>
              <w:t>撰写、发表相关著作及文章，以第一作者身份发表一篇文章（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阿尔泰山采金矿区植被恢复效果初探</w:t>
            </w:r>
            <w:r>
              <w:rPr>
                <w:rFonts w:hint="eastAsia"/>
                <w:bCs/>
                <w:color w:val="000000" w:themeColor="text1"/>
                <w:sz w:val="21"/>
                <w:szCs w:val="21"/>
                <w:highlight w:val="none"/>
                <w:lang w:val="en-US" w:eastAsia="zh-CN"/>
                <w14:textFill>
                  <w14:solidFill>
                    <w14:schemeClr w14:val="tx1"/>
                  </w14:solidFill>
                </w14:textFill>
              </w:rPr>
              <w:t>），以第2作者身份发表一篇文章（干旱区生态修复的实践——以古尔班通古特沙漠为例），以第三作者身份发表一篇文章（额河源流采金矿区不同恢复措施对矿区物种多样性和地上生物量的影响），以第四作者身份发表《</w:t>
            </w:r>
            <w:r>
              <w:rPr>
                <w:rFonts w:hint="default" w:ascii="Times New Roman" w:hAnsi="Times New Roman" w:eastAsia="宋体" w:cs="Times New Roman"/>
                <w:color w:val="000000" w:themeColor="text1"/>
                <w:sz w:val="21"/>
                <w:szCs w:val="21"/>
                <w:highlight w:val="none"/>
                <w:lang w:val="en-US" w:eastAsia="zh-CN"/>
                <w14:textFill>
                  <w14:solidFill>
                    <w14:schemeClr w14:val="tx1"/>
                  </w14:solidFill>
                </w14:textFill>
              </w:rPr>
              <w:t>阿勒泰地区矿区修复技术集成与模式研究</w:t>
            </w:r>
            <w:r>
              <w:rPr>
                <w:rFonts w:hint="eastAsia"/>
                <w:bCs/>
                <w:color w:val="000000" w:themeColor="text1"/>
                <w:sz w:val="21"/>
                <w:szCs w:val="21"/>
                <w:highlight w:val="none"/>
                <w:lang w:val="en-US" w:eastAsia="zh-CN"/>
                <w14:textFill>
                  <w14:solidFill>
                    <w14:schemeClr w14:val="tx1"/>
                  </w14:solidFill>
                </w14:textFill>
              </w:rPr>
              <w:t>》著作一部。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5</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叶勒波拉提·托流汉</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作为主要完成人，从2011年开始对库尔木图废旧矿区开展了土地平整、植被恢复工作。组织开展了矿区修复，制定技术路线、方法和相关标准，</w:t>
            </w:r>
            <w:r>
              <w:rPr>
                <w:rFonts w:hint="eastAsia"/>
                <w:bCs/>
                <w:color w:val="000000" w:themeColor="text1"/>
                <w:sz w:val="21"/>
                <w:szCs w:val="21"/>
                <w:highlight w:val="none"/>
                <w:lang w:val="en-US" w:eastAsia="zh-CN"/>
                <w14:textFill>
                  <w14:solidFill>
                    <w14:schemeClr w14:val="tx1"/>
                  </w14:solidFill>
                </w14:textFill>
              </w:rPr>
              <w:t>参与</w:t>
            </w:r>
            <w:r>
              <w:rPr>
                <w:rFonts w:hint="eastAsia"/>
                <w:bCs/>
                <w:color w:val="000000" w:themeColor="text1"/>
                <w:sz w:val="21"/>
                <w:szCs w:val="21"/>
                <w:highlight w:val="none"/>
                <w14:textFill>
                  <w14:solidFill>
                    <w14:schemeClr w14:val="tx1"/>
                  </w14:solidFill>
                </w14:textFill>
              </w:rPr>
              <w:t>编撰《阿勒泰地区矿区修复技术集成与模式研究》</w:t>
            </w:r>
            <w:r>
              <w:rPr>
                <w:rFonts w:hint="eastAsia"/>
                <w:bCs/>
                <w:color w:val="000000" w:themeColor="text1"/>
                <w:sz w:val="21"/>
                <w:szCs w:val="21"/>
                <w:highlight w:val="none"/>
                <w:lang w:val="en-US" w:eastAsia="zh-CN"/>
                <w14:textFill>
                  <w14:solidFill>
                    <w14:schemeClr w14:val="tx1"/>
                  </w14:solidFill>
                </w14:textFill>
              </w:rPr>
              <w:t>著作</w:t>
            </w:r>
            <w:r>
              <w:rPr>
                <w:rFonts w:hint="eastAsia"/>
                <w:bCs/>
                <w:color w:val="000000" w:themeColor="text1"/>
                <w:sz w:val="21"/>
                <w:szCs w:val="21"/>
                <w:highlight w:val="none"/>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6</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赵新风</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博士生</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中国科学院新疆生态与地理研究所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作为主要参与人，主要负责对不同措施的生态恢复效果进行连续监测，对修复后的生物多样性、相似性进行计算，对修复成本进行评估。</w:t>
            </w:r>
            <w:r>
              <w:rPr>
                <w:rFonts w:hint="eastAsia"/>
                <w:bCs/>
                <w:color w:val="000000" w:themeColor="text1"/>
                <w:sz w:val="21"/>
                <w:szCs w:val="21"/>
                <w:highlight w:val="none"/>
                <w:lang w:val="en-US" w:eastAsia="zh-CN"/>
                <w14:textFill>
                  <w14:solidFill>
                    <w14:schemeClr w14:val="tx1"/>
                  </w14:solidFill>
                </w14:textFill>
              </w:rPr>
              <w:t>以第一作者身份发表一篇文章（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人工措施对阿尔泰山采金矿区地表的恢复作用</w:t>
            </w:r>
            <w:r>
              <w:rPr>
                <w:rFonts w:hint="eastAsia"/>
                <w:bCs/>
                <w:color w:val="000000" w:themeColor="text1"/>
                <w:sz w:val="21"/>
                <w:szCs w:val="21"/>
                <w:highlight w:val="none"/>
                <w:lang w:val="en-US" w:eastAsia="zh-CN"/>
                <w14:textFill>
                  <w14:solidFill>
                    <w14:schemeClr w14:val="tx1"/>
                  </w14:solidFill>
                </w14:textFill>
              </w:rPr>
              <w:t>），以第三作者身份发表一篇文章（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补水对采金废弃矿区恢复效益的影响</w:t>
            </w:r>
            <w:r>
              <w:rPr>
                <w:rFonts w:hint="eastAsia"/>
                <w:bCs/>
                <w:color w:val="000000" w:themeColor="text1"/>
                <w:sz w:val="2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eastAsia"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7</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徐  俏</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博士生</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中国科学院新疆生态与地理研究所、新疆农业大学</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val="en-US" w:eastAsia="zh-CN"/>
                <w14:textFill>
                  <w14:solidFill>
                    <w14:schemeClr w14:val="tx1"/>
                  </w14:solidFill>
                </w14:textFill>
              </w:rPr>
              <w:t>参与</w:t>
            </w:r>
            <w:r>
              <w:rPr>
                <w:rFonts w:hint="eastAsia"/>
                <w:bCs/>
                <w:color w:val="000000" w:themeColor="text1"/>
                <w:sz w:val="21"/>
                <w:szCs w:val="21"/>
                <w:highlight w:val="none"/>
                <w14:textFill>
                  <w14:solidFill>
                    <w14:schemeClr w14:val="tx1"/>
                  </w14:solidFill>
                </w14:textFill>
              </w:rPr>
              <w:t>生物多样性、相似性进行计算，修复成本进行评估</w:t>
            </w:r>
            <w:r>
              <w:rPr>
                <w:rFonts w:hint="eastAsia"/>
                <w:bCs/>
                <w:color w:val="000000" w:themeColor="text1"/>
                <w:sz w:val="21"/>
                <w:szCs w:val="21"/>
                <w:highlight w:val="none"/>
                <w:lang w:val="en-US" w:eastAsia="zh-CN"/>
                <w14:textFill>
                  <w14:solidFill>
                    <w14:schemeClr w14:val="tx1"/>
                  </w14:solidFill>
                </w14:textFill>
              </w:rPr>
              <w:t>等工作</w:t>
            </w:r>
            <w:r>
              <w:rPr>
                <w:rFonts w:hint="eastAsia"/>
                <w:bCs/>
                <w:color w:val="000000" w:themeColor="text1"/>
                <w:sz w:val="21"/>
                <w:szCs w:val="21"/>
                <w:highlight w:val="none"/>
                <w14:textFill>
                  <w14:solidFill>
                    <w14:schemeClr w14:val="tx1"/>
                  </w14:solidFill>
                </w14:textFill>
              </w:rPr>
              <w:t>。</w:t>
            </w:r>
            <w:r>
              <w:rPr>
                <w:rFonts w:hint="eastAsia"/>
                <w:bCs/>
                <w:color w:val="000000" w:themeColor="text1"/>
                <w:sz w:val="21"/>
                <w:szCs w:val="21"/>
                <w:highlight w:val="none"/>
                <w:lang w:val="en-US" w:eastAsia="zh-CN"/>
                <w14:textFill>
                  <w14:solidFill>
                    <w14:schemeClr w14:val="tx1"/>
                  </w14:solidFill>
                </w14:textFill>
              </w:rPr>
              <w:t>发表相关文章和专利。以第一作者身份发表两项专利（</w:t>
            </w:r>
            <w:r>
              <w:rPr>
                <w:rFonts w:hint="default" w:ascii="Times New Roman" w:hAnsi="Times New Roman" w:eastAsia="宋体" w:cs="Times New Roman"/>
                <w:b w:val="0"/>
                <w:bCs w:val="0"/>
                <w:color w:val="000000" w:themeColor="text1"/>
                <w:sz w:val="21"/>
                <w:szCs w:val="21"/>
                <w:highlight w:val="none"/>
                <w:lang w:eastAsia="zh-CN"/>
                <w14:textFill>
                  <w14:solidFill>
                    <w14:schemeClr w14:val="tx1"/>
                  </w14:solidFill>
                </w14:textFill>
              </w:rPr>
              <w:t>202010560845.1</w:t>
            </w:r>
            <w:r>
              <w:rPr>
                <w:rFonts w:hint="eastAsia" w:ascii="Times New Roman" w:hAnsi="Times New Roman" w:eastAsia="宋体" w:cs="Times New Roman"/>
                <w:b w:val="0"/>
                <w:bCs w:val="0"/>
                <w:color w:val="000000" w:themeColor="text1"/>
                <w:sz w:val="21"/>
                <w:szCs w:val="21"/>
                <w:highlight w:val="none"/>
                <w:lang w:eastAsia="zh-CN"/>
                <w14:textFill>
                  <w14:solidFill>
                    <w14:schemeClr w14:val="tx1"/>
                  </w14:solidFill>
                </w14:textFill>
              </w:rPr>
              <w:t>，</w:t>
            </w:r>
            <w:r>
              <w:rPr>
                <w:rFonts w:hint="default" w:ascii="Times New Roman" w:hAnsi="Times New Roman" w:eastAsia="宋体" w:cs="Times New Roman"/>
                <w:b w:val="0"/>
                <w:bCs w:val="0"/>
                <w:color w:val="000000" w:themeColor="text1"/>
                <w:sz w:val="21"/>
                <w:szCs w:val="21"/>
                <w:highlight w:val="none"/>
                <w:lang w:eastAsia="zh-CN"/>
                <w14:textFill>
                  <w14:solidFill>
                    <w14:schemeClr w14:val="tx1"/>
                  </w14:solidFill>
                </w14:textFill>
              </w:rPr>
              <w:t>202010560844.7</w:t>
            </w:r>
            <w:r>
              <w:rPr>
                <w:rFonts w:hint="eastAsia"/>
                <w:bCs/>
                <w:color w:val="000000" w:themeColor="text1"/>
                <w:sz w:val="21"/>
                <w:szCs w:val="21"/>
                <w:highlight w:val="none"/>
                <w:lang w:val="en-US" w:eastAsia="zh-CN"/>
                <w14:textFill>
                  <w14:solidFill>
                    <w14:schemeClr w14:val="tx1"/>
                  </w14:solidFill>
                </w14:textFill>
              </w:rPr>
              <w:t>），以第四作者身份发表一篇文章（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阿勒泰小克兰河上游植物群落的垂直分布格局及环境分析</w:t>
            </w:r>
            <w:r>
              <w:rPr>
                <w:rFonts w:hint="eastAsia"/>
                <w:bCs/>
                <w:color w:val="000000" w:themeColor="text1"/>
                <w:sz w:val="21"/>
                <w:szCs w:val="21"/>
                <w:highlight w:val="none"/>
                <w:lang w:val="en-US"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8</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徐海量</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研究员</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中国科学院新疆生态与地理研究所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val="en-US" w:eastAsia="zh-CN"/>
                <w14:textFill>
                  <w14:solidFill>
                    <w14:schemeClr w14:val="tx1"/>
                  </w14:solidFill>
                </w14:textFill>
              </w:rPr>
              <w:t>整体构思了项目思路，提出矿区生态修复标准目标阈值。以第一作者身份发表2篇文章（矿区恢复典型案例分析-以卡拉麦里自然保护区为例，干旱区生态修复的实践——以古尔班通古特沙漠为例），以第二作者身份发表七篇文章（</w:t>
            </w:r>
            <w:r>
              <w:rPr>
                <w:rFonts w:hint="default"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阿勒泰小克兰河上游植物群落的垂直分布格局及环境分析</w:t>
            </w:r>
            <w:r>
              <w:rPr>
                <w:rFonts w:hint="eastAsia" w:ascii="Times New Roman" w:hAnsi="Times New Roman" w:eastAsia="宋体" w:cs="Times New Roman"/>
                <w:b w:val="0"/>
                <w:bCs w:val="0"/>
                <w:color w:val="000000" w:themeColor="text1"/>
                <w:sz w:val="21"/>
                <w:szCs w:val="21"/>
                <w:highlight w:val="none"/>
                <w:lang w:val="en-US" w:eastAsia="zh-CN"/>
                <w14:textFill>
                  <w14:solidFill>
                    <w14:schemeClr w14:val="tx1"/>
                  </w14:solidFill>
                </w14:textFill>
              </w:rPr>
              <w:t>，完善《自治区自然保护区管理条例》的建议，补水对采金废弃矿区恢复效益的影响，等</w:t>
            </w:r>
            <w:r>
              <w:rPr>
                <w:rFonts w:hint="eastAsia"/>
                <w:bCs/>
                <w:color w:val="000000" w:themeColor="text1"/>
                <w:sz w:val="21"/>
                <w:szCs w:val="21"/>
                <w:highlight w:val="none"/>
                <w:lang w:val="en-US" w:eastAsia="zh-CN"/>
                <w14:textFill>
                  <w14:solidFill>
                    <w14:schemeClr w14:val="tx1"/>
                  </w14:solidFill>
                </w14:textFill>
              </w:rPr>
              <w:t>），著作一部（阿勒泰地区矿区修复技术集成与模式研究）。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9</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张海华</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作为主要参与人，主要负责机械设备进场施工协调工作，保障物资供应并对土地恢复现场进行现场监测及施工管理。参与阿《勒泰地区矿区修复技术集成与模式研究》</w:t>
            </w:r>
            <w:r>
              <w:rPr>
                <w:rFonts w:hint="eastAsia"/>
                <w:bCs/>
                <w:color w:val="000000" w:themeColor="text1"/>
                <w:sz w:val="21"/>
                <w:szCs w:val="21"/>
                <w:highlight w:val="none"/>
                <w:lang w:val="en-US" w:eastAsia="zh-CN"/>
                <w14:textFill>
                  <w14:solidFill>
                    <w14:schemeClr w14:val="tx1"/>
                  </w14:solidFill>
                </w14:textFill>
              </w:rPr>
              <w:t>著作</w:t>
            </w:r>
            <w:r>
              <w:rPr>
                <w:rFonts w:hint="eastAsia"/>
                <w:bCs/>
                <w:color w:val="000000" w:themeColor="text1"/>
                <w:sz w:val="21"/>
                <w:szCs w:val="21"/>
                <w:highlight w:val="none"/>
                <w14:textFill>
                  <w14:solidFill>
                    <w14:schemeClr w14:val="tx1"/>
                  </w14:solidFill>
                </w14:textFill>
              </w:rPr>
              <w:t>编撰。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74" w:type="pct"/>
            <w:vAlign w:val="center"/>
          </w:tcPr>
          <w:p>
            <w:pPr>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10</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高  健</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正高级工程师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14:textFill>
                  <w14:solidFill>
                    <w14:schemeClr w14:val="tx1"/>
                  </w14:solidFill>
                </w14:textFill>
              </w:rPr>
              <w:t>新疆林业科学院现代林业研究所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作为主要参与人，对项目恢复技术、模式及治理成本提出专业指导。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eastAsia="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11</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阿汉·瓦阿太</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作为主要参与人，在项目实施现场做了管理和协调工作</w:t>
            </w:r>
            <w:r>
              <w:rPr>
                <w:rFonts w:hint="eastAsia"/>
                <w:bCs/>
                <w:color w:val="000000" w:themeColor="text1"/>
                <w:sz w:val="21"/>
                <w:szCs w:val="21"/>
                <w:highlight w:val="none"/>
                <w:lang w:eastAsia="zh-CN"/>
                <w14:textFill>
                  <w14:solidFill>
                    <w14:schemeClr w14:val="tx1"/>
                  </w14:solidFill>
                </w14:textFill>
              </w:rPr>
              <w:t>，</w:t>
            </w:r>
            <w:r>
              <w:rPr>
                <w:rFonts w:hint="eastAsia"/>
                <w:bCs/>
                <w:color w:val="000000" w:themeColor="text1"/>
                <w:sz w:val="21"/>
                <w:szCs w:val="21"/>
                <w:highlight w:val="none"/>
                <w14:textFill>
                  <w14:solidFill>
                    <w14:schemeClr w14:val="tx1"/>
                  </w14:solidFill>
                </w14:textFill>
              </w:rPr>
              <w:t>参与阿《勒泰地区矿区修复技术集成与模式研究》</w:t>
            </w:r>
            <w:r>
              <w:rPr>
                <w:rFonts w:hint="eastAsia"/>
                <w:bCs/>
                <w:color w:val="000000" w:themeColor="text1"/>
                <w:sz w:val="21"/>
                <w:szCs w:val="21"/>
                <w:highlight w:val="none"/>
                <w:lang w:val="en-US" w:eastAsia="zh-CN"/>
                <w14:textFill>
                  <w14:solidFill>
                    <w14:schemeClr w14:val="tx1"/>
                  </w14:solidFill>
                </w14:textFill>
              </w:rPr>
              <w:t>著作</w:t>
            </w:r>
            <w:r>
              <w:rPr>
                <w:rFonts w:hint="eastAsia"/>
                <w:bCs/>
                <w:color w:val="000000" w:themeColor="text1"/>
                <w:sz w:val="21"/>
                <w:szCs w:val="21"/>
                <w:highlight w:val="none"/>
                <w14:textFill>
                  <w14:solidFill>
                    <w14:schemeClr w14:val="tx1"/>
                  </w14:solidFill>
                </w14:textFill>
              </w:rPr>
              <w:t>编撰</w:t>
            </w:r>
            <w:r>
              <w:rPr>
                <w:rFonts w:hint="eastAsia"/>
                <w:bCs/>
                <w:color w:val="000000" w:themeColor="text1"/>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12</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叶茂</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系主任</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lang w:val="en-US" w:eastAsia="zh-CN"/>
                <w14:textFill>
                  <w14:solidFill>
                    <w14:schemeClr w14:val="tx1"/>
                  </w14:solidFill>
                </w14:textFill>
              </w:rPr>
              <w:t>新疆师范大学</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作为主要参与人，负责各恢复技术模式的生态系统恢复成效评价，计算修复后生物多样性、相似性，评估修复成本</w:t>
            </w:r>
            <w:r>
              <w:rPr>
                <w:rFonts w:hint="eastAsia"/>
                <w:bCs/>
                <w:color w:val="000000" w:themeColor="text1"/>
                <w:sz w:val="21"/>
                <w:szCs w:val="21"/>
                <w:highlight w:val="none"/>
                <w:lang w:eastAsia="zh-CN"/>
                <w14:textFill>
                  <w14:solidFill>
                    <w14:schemeClr w14:val="tx1"/>
                  </w14:solidFill>
                </w14:textFill>
              </w:rPr>
              <w:t>，</w:t>
            </w:r>
            <w:r>
              <w:rPr>
                <w:rFonts w:hint="eastAsia"/>
                <w:bCs/>
                <w:color w:val="000000" w:themeColor="text1"/>
                <w:sz w:val="21"/>
                <w:szCs w:val="21"/>
                <w:highlight w:val="none"/>
                <w14:textFill>
                  <w14:solidFill>
                    <w14:schemeClr w14:val="tx1"/>
                  </w14:solidFill>
                </w14:textFill>
              </w:rPr>
              <w:t>申报书中创新点凝练。</w:t>
            </w:r>
            <w:r>
              <w:rPr>
                <w:rFonts w:hint="eastAsia"/>
                <w:bCs/>
                <w:color w:val="000000" w:themeColor="text1"/>
                <w:sz w:val="21"/>
                <w:szCs w:val="21"/>
                <w:highlight w:val="none"/>
                <w:lang w:val="en-US" w:eastAsia="zh-CN"/>
                <w14:textFill>
                  <w14:solidFill>
                    <w14:schemeClr w14:val="tx1"/>
                  </w14:solidFill>
                </w14:textFill>
              </w:rPr>
              <w:t>以第一作者身份发表两篇文章（阿勒泰地区自然保护区生物多样性监测体系建设，阿尔泰山生态因子变化研究），以第二作者身份发表三篇文章（基于VOR模型的阿尔泰山林区森林生态系统健康评价，不同地形条件对落叶松云杉混交林建群种共存机制的影响，阿尔泰山草地过度放牧的动力机制分析）。</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13</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特列克·依巴提</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助理工程师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新疆维吾尔自治区阿尔泰山国有林管理局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eastAsia="zh-CN"/>
                <w14:textFill>
                  <w14:solidFill>
                    <w14:schemeClr w14:val="tx1"/>
                  </w14:solidFill>
                </w14:textFill>
              </w:rPr>
              <w:t>，</w:t>
            </w:r>
            <w:r>
              <w:rPr>
                <w:rFonts w:hint="eastAsia"/>
                <w:bCs/>
                <w:color w:val="000000" w:themeColor="text1"/>
                <w:sz w:val="21"/>
                <w:szCs w:val="21"/>
                <w:highlight w:val="none"/>
                <w14:textFill>
                  <w14:solidFill>
                    <w14:schemeClr w14:val="tx1"/>
                  </w14:solidFill>
                </w14:textFill>
              </w:rPr>
              <w:t>在矿区地质修复中对修复成本降低有重要贡献。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14</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程传飞</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0"/>
                <w:szCs w:val="20"/>
                <w:highlight w:val="none"/>
                <w:lang w:val="en-US" w:eastAsia="zh-CN"/>
                <w14:textFill>
                  <w14:solidFill>
                    <w14:schemeClr w14:val="tx1"/>
                  </w14:solidFill>
                </w14:textFill>
              </w:rPr>
              <w:t>林业工程师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val="en-US" w:eastAsia="zh-CN"/>
                <w14:textFill>
                  <w14:solidFill>
                    <w14:schemeClr w14:val="tx1"/>
                  </w14:solidFill>
                </w14:textFill>
              </w:rPr>
              <w:t>参与</w:t>
            </w:r>
            <w:r>
              <w:rPr>
                <w:rFonts w:hint="eastAsia"/>
                <w:bCs/>
                <w:color w:val="000000" w:themeColor="text1"/>
                <w:sz w:val="21"/>
                <w:szCs w:val="21"/>
                <w:highlight w:val="none"/>
                <w14:textFill>
                  <w14:solidFill>
                    <w14:schemeClr w14:val="tx1"/>
                  </w14:solidFill>
                </w14:textFill>
              </w:rPr>
              <w:t>了调研</w:t>
            </w:r>
            <w:r>
              <w:rPr>
                <w:rFonts w:hint="eastAsia"/>
                <w:bCs/>
                <w:color w:val="000000" w:themeColor="text1"/>
                <w:sz w:val="21"/>
                <w:szCs w:val="21"/>
                <w:highlight w:val="none"/>
                <w:lang w:eastAsia="zh-CN"/>
                <w14:textFill>
                  <w14:solidFill>
                    <w14:schemeClr w14:val="tx1"/>
                  </w14:solidFill>
                </w14:textFill>
              </w:rPr>
              <w:t>、监测</w:t>
            </w:r>
            <w:r>
              <w:rPr>
                <w:rFonts w:hint="eastAsia"/>
                <w:bCs/>
                <w:color w:val="000000" w:themeColor="text1"/>
                <w:sz w:val="21"/>
                <w:szCs w:val="21"/>
                <w:highlight w:val="none"/>
                <w14:textFill>
                  <w14:solidFill>
                    <w14:schemeClr w14:val="tx1"/>
                  </w14:solidFill>
                </w14:textFill>
              </w:rPr>
              <w:t>工作</w:t>
            </w:r>
            <w:r>
              <w:rPr>
                <w:rFonts w:hint="eastAsia"/>
                <w:bCs/>
                <w:color w:val="000000" w:themeColor="text1"/>
                <w:sz w:val="21"/>
                <w:szCs w:val="21"/>
                <w:highlight w:val="none"/>
                <w:lang w:eastAsia="zh-CN"/>
                <w14:textFill>
                  <w14:solidFill>
                    <w14:schemeClr w14:val="tx1"/>
                  </w14:solidFill>
                </w14:textFill>
              </w:rPr>
              <w:t>，</w:t>
            </w:r>
            <w:r>
              <w:rPr>
                <w:rFonts w:hint="eastAsia"/>
                <w:bCs/>
                <w:color w:val="000000" w:themeColor="text1"/>
                <w:sz w:val="21"/>
                <w:szCs w:val="21"/>
                <w:highlight w:val="none"/>
                <w:lang w:val="en-US" w:eastAsia="zh-CN"/>
                <w14:textFill>
                  <w14:solidFill>
                    <w14:schemeClr w14:val="tx1"/>
                  </w14:solidFill>
                </w14:textFill>
              </w:rPr>
              <w:t>参与</w:t>
            </w:r>
            <w:r>
              <w:rPr>
                <w:rFonts w:hint="eastAsia"/>
                <w:bCs/>
                <w:color w:val="000000" w:themeColor="text1"/>
                <w:sz w:val="21"/>
                <w:szCs w:val="21"/>
                <w:highlight w:val="none"/>
                <w14:textFill>
                  <w14:solidFill>
                    <w14:schemeClr w14:val="tx1"/>
                  </w14:solidFill>
                </w14:textFill>
              </w:rPr>
              <w:t>编撰《阿勒泰地区矿区修复技术集成与模式研究》一书</w:t>
            </w:r>
            <w:r>
              <w:rPr>
                <w:rFonts w:hint="eastAsia"/>
                <w:bCs/>
                <w:color w:val="000000" w:themeColor="text1"/>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15</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魏茂盛</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0"/>
                <w:szCs w:val="20"/>
                <w:highlight w:val="none"/>
                <w:lang w:val="en-US" w:eastAsia="zh-CN"/>
                <w14:textFill>
                  <w14:solidFill>
                    <w14:schemeClr w14:val="tx1"/>
                  </w14:solidFill>
                </w14:textFill>
              </w:rPr>
              <w:t>林业工程师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val="en-US" w:eastAsia="zh-CN"/>
                <w14:textFill>
                  <w14:solidFill>
                    <w14:schemeClr w14:val="tx1"/>
                  </w14:solidFill>
                </w14:textFill>
              </w:rPr>
              <w:t>现场指导</w:t>
            </w:r>
            <w:r>
              <w:rPr>
                <w:rFonts w:hint="eastAsia"/>
                <w:bCs/>
                <w:color w:val="000000" w:themeColor="text1"/>
                <w:sz w:val="21"/>
                <w:szCs w:val="21"/>
                <w:highlight w:val="none"/>
                <w14:textFill>
                  <w14:solidFill>
                    <w14:schemeClr w14:val="tx1"/>
                  </w14:solidFill>
                </w14:textFill>
              </w:rPr>
              <w:t>废</w:t>
            </w:r>
            <w:r>
              <w:rPr>
                <w:rFonts w:hint="eastAsia"/>
                <w:bCs/>
                <w:color w:val="000000" w:themeColor="text1"/>
                <w:sz w:val="21"/>
                <w:szCs w:val="21"/>
                <w:highlight w:val="none"/>
                <w:lang w:val="en-US" w:eastAsia="zh-CN"/>
                <w14:textFill>
                  <w14:solidFill>
                    <w14:schemeClr w14:val="tx1"/>
                  </w14:solidFill>
                </w14:textFill>
              </w:rPr>
              <w:t>弃</w:t>
            </w:r>
            <w:r>
              <w:rPr>
                <w:rFonts w:hint="eastAsia"/>
                <w:bCs/>
                <w:color w:val="000000" w:themeColor="text1"/>
                <w:sz w:val="21"/>
                <w:szCs w:val="21"/>
                <w:highlight w:val="none"/>
                <w14:textFill>
                  <w14:solidFill>
                    <w14:schemeClr w14:val="tx1"/>
                  </w14:solidFill>
                </w14:textFill>
              </w:rPr>
              <w:t>矿区土地平整、植被恢复工作</w:t>
            </w:r>
            <w:r>
              <w:rPr>
                <w:rFonts w:hint="eastAsia"/>
                <w:bCs/>
                <w:color w:val="000000" w:themeColor="text1"/>
                <w:sz w:val="21"/>
                <w:szCs w:val="21"/>
                <w:highlight w:val="none"/>
                <w:lang w:eastAsia="zh-CN"/>
                <w14:textFill>
                  <w14:solidFill>
                    <w14:schemeClr w14:val="tx1"/>
                  </w14:solidFill>
                </w14:textFill>
              </w:rPr>
              <w:t>，</w:t>
            </w:r>
            <w:r>
              <w:rPr>
                <w:rFonts w:hint="eastAsia"/>
                <w:bCs/>
                <w:color w:val="000000" w:themeColor="text1"/>
                <w:sz w:val="21"/>
                <w:szCs w:val="21"/>
                <w:highlight w:val="none"/>
                <w:lang w:val="en-US" w:eastAsia="zh-CN"/>
                <w14:textFill>
                  <w14:solidFill>
                    <w14:schemeClr w14:val="tx1"/>
                  </w14:solidFill>
                </w14:textFill>
              </w:rPr>
              <w:t>参与</w:t>
            </w:r>
            <w:r>
              <w:rPr>
                <w:rFonts w:hint="eastAsia"/>
                <w:bCs/>
                <w:color w:val="000000" w:themeColor="text1"/>
                <w:sz w:val="21"/>
                <w:szCs w:val="21"/>
                <w:highlight w:val="none"/>
                <w14:textFill>
                  <w14:solidFill>
                    <w14:schemeClr w14:val="tx1"/>
                  </w14:solidFill>
                </w14:textFill>
              </w:rPr>
              <w:t>编撰《阿勒泰地区矿区修复技术集成与模式研究》一书</w:t>
            </w:r>
            <w:r>
              <w:rPr>
                <w:rFonts w:hint="eastAsia"/>
                <w:bCs/>
                <w:color w:val="000000" w:themeColor="text1"/>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16</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杨贵生</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0"/>
                <w:szCs w:val="20"/>
                <w:highlight w:val="none"/>
                <w:lang w:val="en-US" w:eastAsia="zh-CN"/>
                <w14:textFill>
                  <w14:solidFill>
                    <w14:schemeClr w14:val="tx1"/>
                  </w14:solidFill>
                </w14:textFill>
              </w:rPr>
              <w:t>林业工程师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val="en-US" w:eastAsia="zh-CN"/>
                <w14:textFill>
                  <w14:solidFill>
                    <w14:schemeClr w14:val="tx1"/>
                  </w14:solidFill>
                </w14:textFill>
              </w:rPr>
              <w:t>参与</w:t>
            </w:r>
            <w:r>
              <w:rPr>
                <w:rFonts w:hint="eastAsia"/>
                <w:bCs/>
                <w:color w:val="000000" w:themeColor="text1"/>
                <w:sz w:val="21"/>
                <w:szCs w:val="21"/>
                <w:highlight w:val="none"/>
                <w14:textFill>
                  <w14:solidFill>
                    <w14:schemeClr w14:val="tx1"/>
                  </w14:solidFill>
                </w14:textFill>
              </w:rPr>
              <w:t>编撰《阿勒泰地区矿区修复技术集成与模式研究》一书</w:t>
            </w:r>
            <w:r>
              <w:rPr>
                <w:rFonts w:hint="eastAsia"/>
                <w:bCs/>
                <w:color w:val="000000" w:themeColor="text1"/>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17</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合依劳别克</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0"/>
                <w:szCs w:val="20"/>
                <w:highlight w:val="none"/>
                <w:lang w:val="en-US" w:eastAsia="zh-CN"/>
                <w14:textFill>
                  <w14:solidFill>
                    <w14:schemeClr w14:val="tx1"/>
                  </w14:solidFill>
                </w14:textFill>
              </w:rPr>
              <w:t>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新疆阿尔泰山两河源自然保护区管理局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bCs/>
                <w:color w:val="000000" w:themeColor="text1"/>
                <w:sz w:val="21"/>
                <w:szCs w:val="21"/>
                <w:highlight w:val="none"/>
                <w14:textFill>
                  <w14:solidFill>
                    <w14:schemeClr w14:val="tx1"/>
                  </w14:solidFill>
                </w14:textFill>
              </w:rPr>
              <w:t>作为主要参与人，</w:t>
            </w:r>
            <w:r>
              <w:rPr>
                <w:rFonts w:hint="eastAsia"/>
                <w:bCs/>
                <w:color w:val="000000" w:themeColor="text1"/>
                <w:sz w:val="21"/>
                <w:szCs w:val="21"/>
                <w:highlight w:val="none"/>
                <w:lang w:val="en-US" w:eastAsia="zh-CN"/>
                <w14:textFill>
                  <w14:solidFill>
                    <w14:schemeClr w14:val="tx1"/>
                  </w14:solidFill>
                </w14:textFill>
              </w:rPr>
              <w:t>组织、管理项目现场施工工作，参与</w:t>
            </w:r>
            <w:r>
              <w:rPr>
                <w:rFonts w:hint="eastAsia"/>
                <w:bCs/>
                <w:color w:val="000000" w:themeColor="text1"/>
                <w:sz w:val="21"/>
                <w:szCs w:val="21"/>
                <w:highlight w:val="none"/>
                <w14:textFill>
                  <w14:solidFill>
                    <w14:schemeClr w14:val="tx1"/>
                  </w14:solidFill>
                </w14:textFill>
              </w:rPr>
              <w:t>编撰《阿勒泰地区矿区修复技术集成与模式研究》一书</w:t>
            </w:r>
            <w:r>
              <w:rPr>
                <w:rFonts w:hint="eastAsia"/>
                <w:bCs/>
                <w:color w:val="000000" w:themeColor="text1"/>
                <w:sz w:val="21"/>
                <w:szCs w:val="21"/>
                <w:highlight w:val="none"/>
                <w:lang w:eastAsia="zh-CN"/>
                <w14:textFill>
                  <w14:solidFill>
                    <w14:schemeClr w14:val="tx1"/>
                  </w14:solidFill>
                </w14:textFill>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8" w:hRule="atLeast"/>
          <w:jc w:val="center"/>
        </w:trPr>
        <w:tc>
          <w:tcPr>
            <w:tcW w:w="374" w:type="pct"/>
            <w:vAlign w:val="center"/>
          </w:tcPr>
          <w:p>
            <w:pPr>
              <w:jc w:val="center"/>
              <w:rPr>
                <w:rFonts w:hint="default" w:ascii="宋体" w:hAnsi="宋体" w:cs="宋体"/>
                <w:bCs/>
                <w:color w:val="000000" w:themeColor="text1"/>
                <w:sz w:val="21"/>
                <w:szCs w:val="21"/>
                <w:highlight w:val="none"/>
                <w:lang w:val="en-US" w:eastAsia="zh-CN"/>
                <w14:textFill>
                  <w14:solidFill>
                    <w14:schemeClr w14:val="tx1"/>
                  </w14:solidFill>
                </w14:textFill>
              </w:rPr>
            </w:pPr>
            <w:r>
              <w:rPr>
                <w:rFonts w:hint="eastAsia" w:ascii="宋体" w:hAnsi="宋体" w:cs="宋体"/>
                <w:bCs/>
                <w:color w:val="000000" w:themeColor="text1"/>
                <w:sz w:val="21"/>
                <w:szCs w:val="21"/>
                <w:highlight w:val="none"/>
                <w:lang w:val="en-US" w:eastAsia="zh-CN"/>
                <w14:textFill>
                  <w14:solidFill>
                    <w14:schemeClr w14:val="tx1"/>
                  </w14:solidFill>
                </w14:textFill>
              </w:rPr>
              <w:t>18</w:t>
            </w:r>
          </w:p>
        </w:tc>
        <w:tc>
          <w:tcPr>
            <w:tcW w:w="43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lang w:val="en-US" w:eastAsia="zh-CN"/>
                <w14:textFill>
                  <w14:solidFill>
                    <w14:schemeClr w14:val="tx1"/>
                  </w14:solidFill>
                </w14:textFill>
              </w:rPr>
              <w:t>朱跃韬</w:t>
            </w:r>
          </w:p>
        </w:tc>
        <w:tc>
          <w:tcPr>
            <w:tcW w:w="775"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cs="Times New Roman"/>
                <w:color w:val="000000" w:themeColor="text1"/>
                <w:kern w:val="0"/>
                <w:sz w:val="20"/>
                <w:szCs w:val="20"/>
                <w:highlight w:val="none"/>
                <w:lang w:val="en-US" w:eastAsia="zh-CN"/>
                <w14:textFill>
                  <w14:solidFill>
                    <w14:schemeClr w14:val="tx1"/>
                  </w14:solidFill>
                </w14:textFill>
              </w:rPr>
              <w:t>林业工程师</w:t>
            </w:r>
          </w:p>
        </w:tc>
        <w:tc>
          <w:tcPr>
            <w:tcW w:w="704" w:type="pct"/>
            <w:vAlign w:val="center"/>
          </w:tcPr>
          <w:p>
            <w:pPr>
              <w:jc w:val="center"/>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color w:val="000000" w:themeColor="text1"/>
                <w:highlight w:val="none"/>
                <w:lang w:val="en-US" w:eastAsia="zh-CN"/>
                <w14:textFill>
                  <w14:solidFill>
                    <w14:schemeClr w14:val="tx1"/>
                  </w14:solidFill>
                </w14:textFill>
              </w:rPr>
              <w:t>新疆维吾尔自治区阿尔泰山国有林管理局</w:t>
            </w:r>
          </w:p>
        </w:tc>
        <w:tc>
          <w:tcPr>
            <w:tcW w:w="2711" w:type="pct"/>
            <w:vAlign w:val="center"/>
          </w:tcPr>
          <w:p>
            <w:pPr>
              <w:jc w:val="left"/>
              <w:rPr>
                <w:rFonts w:hint="eastAsia" w:ascii="Times New Roman" w:hAnsi="Times New Roman" w:eastAsia="宋体" w:cs="Times New Roman"/>
                <w:bCs/>
                <w:color w:val="000000" w:themeColor="text1"/>
                <w:kern w:val="2"/>
                <w:sz w:val="21"/>
                <w:szCs w:val="21"/>
                <w:highlight w:val="none"/>
                <w:lang w:val="en-US" w:eastAsia="zh-CN" w:bidi="ar-SA"/>
                <w14:textFill>
                  <w14:solidFill>
                    <w14:schemeClr w14:val="tx1"/>
                  </w14:solidFill>
                </w14:textFill>
              </w:rPr>
            </w:pPr>
            <w:r>
              <w:rPr>
                <w:rFonts w:hint="eastAsia" w:ascii="Times New Roman" w:hAnsi="Times New Roman" w:eastAsia="宋体" w:cs="Times New Roman"/>
                <w:bCs/>
                <w:color w:val="000000" w:themeColor="text1"/>
                <w:sz w:val="21"/>
                <w:szCs w:val="21"/>
                <w:highlight w:val="none"/>
                <w14:textFill>
                  <w14:solidFill>
                    <w14:schemeClr w14:val="tx1"/>
                  </w14:solidFill>
                </w14:textFill>
              </w:rPr>
              <w:t>作为主要</w:t>
            </w:r>
            <w:r>
              <w:rPr>
                <w:rFonts w:hint="eastAsia"/>
                <w:bCs/>
                <w:color w:val="000000" w:themeColor="text1"/>
                <w:sz w:val="21"/>
                <w:szCs w:val="21"/>
                <w:highlight w:val="none"/>
                <w14:textFill>
                  <w14:solidFill>
                    <w14:schemeClr w14:val="tx1"/>
                  </w14:solidFill>
                </w14:textFill>
              </w:rPr>
              <w:t>参与</w:t>
            </w:r>
            <w:r>
              <w:rPr>
                <w:rFonts w:hint="eastAsia" w:ascii="Times New Roman" w:hAnsi="Times New Roman" w:eastAsia="宋体" w:cs="Times New Roman"/>
                <w:bCs/>
                <w:color w:val="000000" w:themeColor="text1"/>
                <w:sz w:val="21"/>
                <w:szCs w:val="21"/>
                <w:highlight w:val="none"/>
                <w14:textFill>
                  <w14:solidFill>
                    <w14:schemeClr w14:val="tx1"/>
                  </w14:solidFill>
                </w14:textFill>
              </w:rPr>
              <w:t>人</w:t>
            </w:r>
            <w:r>
              <w:rPr>
                <w:rFonts w:hint="eastAsia" w:ascii="Times New Roman" w:hAnsi="Times New Roman" w:eastAsia="宋体" w:cs="Times New Roman"/>
                <w:bCs/>
                <w:color w:val="000000" w:themeColor="text1"/>
                <w:sz w:val="21"/>
                <w:szCs w:val="21"/>
                <w:highlight w:val="none"/>
                <w:lang w:eastAsia="zh-CN"/>
                <w14:textFill>
                  <w14:solidFill>
                    <w14:schemeClr w14:val="tx1"/>
                  </w14:solidFill>
                </w14:textFill>
              </w:rPr>
              <w:t>，</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参与指导</w:t>
            </w:r>
            <w:r>
              <w:rPr>
                <w:rFonts w:hint="default" w:ascii="Times New Roman" w:hAnsi="Times New Roman" w:eastAsia="宋体" w:cs="Times New Roman"/>
                <w:bCs/>
                <w:color w:val="000000" w:themeColor="text1"/>
                <w:sz w:val="21"/>
                <w:szCs w:val="21"/>
                <w:highlight w:val="none"/>
                <w:lang w:val="en-US"/>
                <w14:textFill>
                  <w14:solidFill>
                    <w14:schemeClr w14:val="tx1"/>
                  </w14:solidFill>
                </w14:textFill>
              </w:rPr>
              <w:t>现场施工</w:t>
            </w:r>
            <w:r>
              <w:rPr>
                <w:rFonts w:hint="eastAsia" w:ascii="Times New Roman" w:hAnsi="Times New Roman" w:eastAsia="宋体" w:cs="Times New Roman"/>
                <w:bCs/>
                <w:color w:val="000000" w:themeColor="text1"/>
                <w:sz w:val="21"/>
                <w:szCs w:val="21"/>
                <w:highlight w:val="none"/>
                <w:lang w:val="en-US" w:eastAsia="zh-CN"/>
                <w14:textFill>
                  <w14:solidFill>
                    <w14:schemeClr w14:val="tx1"/>
                  </w14:solidFill>
                </w14:textFill>
              </w:rPr>
              <w:t>、资料收集等工作。</w:t>
            </w:r>
          </w:p>
        </w:tc>
      </w:tr>
    </w:tbl>
    <w:p>
      <w:pPr>
        <w:rPr>
          <w:highlight w:val="none"/>
        </w:rPr>
      </w:pPr>
    </w:p>
    <w:p>
      <w:pPr>
        <w:spacing w:line="520" w:lineRule="exact"/>
        <w:ind w:firstLine="560" w:firstLineChars="200"/>
        <w:rPr>
          <w:rFonts w:hint="eastAsia"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六、主要完成单位及创新推广贡献</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rPr>
      </w:pPr>
      <w:r>
        <w:rPr>
          <w:rFonts w:hint="eastAsia" w:ascii="Times New Roman" w:hAnsi="Times New Roman" w:eastAsia="宋体" w:cs="Times New Roman"/>
          <w:color w:val="000000"/>
          <w:sz w:val="24"/>
          <w:szCs w:val="24"/>
          <w:highlight w:val="none"/>
        </w:rPr>
        <w:t>新疆维吾尔自治区</w:t>
      </w:r>
      <w:r>
        <w:rPr>
          <w:rFonts w:hint="eastAsia" w:ascii="Times New Roman" w:hAnsi="Times New Roman" w:eastAsia="宋体" w:cs="Times New Roman"/>
          <w:color w:val="000000"/>
          <w:sz w:val="24"/>
          <w:szCs w:val="24"/>
          <w:highlight w:val="none"/>
          <w:lang w:val="en-US" w:eastAsia="zh-CN"/>
        </w:rPr>
        <w:t>阿尔泰山</w:t>
      </w:r>
      <w:r>
        <w:rPr>
          <w:rFonts w:hint="eastAsia" w:ascii="Times New Roman" w:hAnsi="Times New Roman" w:eastAsia="宋体" w:cs="Times New Roman"/>
          <w:color w:val="000000"/>
          <w:sz w:val="24"/>
          <w:szCs w:val="24"/>
          <w:highlight w:val="none"/>
        </w:rPr>
        <w:t>国有林管理局为实施单位，中国科学院新疆生态地理研究所为技术支撑单位</w:t>
      </w:r>
      <w:r>
        <w:rPr>
          <w:rFonts w:hint="eastAsia" w:ascii="Times New Roman" w:hAnsi="Times New Roman" w:eastAsia="宋体" w:cs="Times New Roman"/>
          <w:color w:val="000000"/>
          <w:sz w:val="24"/>
          <w:szCs w:val="24"/>
          <w:highlight w:val="none"/>
          <w:lang w:eastAsia="zh-CN"/>
        </w:rPr>
        <w:t>，</w:t>
      </w:r>
      <w:r>
        <w:rPr>
          <w:rFonts w:hint="eastAsia" w:ascii="Times New Roman" w:hAnsi="Times New Roman" w:eastAsia="宋体" w:cs="Times New Roman"/>
          <w:color w:val="000000"/>
          <w:sz w:val="24"/>
          <w:szCs w:val="24"/>
          <w:highlight w:val="none"/>
        </w:rPr>
        <w:t>科研院所与管理机构的联合形式，形成</w:t>
      </w:r>
      <w:r>
        <w:rPr>
          <w:rFonts w:hint="eastAsia" w:ascii="Times New Roman" w:hAnsi="Times New Roman" w:eastAsia="宋体" w:cs="Times New Roman"/>
          <w:color w:val="000000"/>
          <w:sz w:val="24"/>
          <w:szCs w:val="24"/>
          <w:highlight w:val="none"/>
          <w:lang w:val="en-US" w:eastAsia="zh-CN"/>
        </w:rPr>
        <w:t>了</w:t>
      </w:r>
      <w:r>
        <w:rPr>
          <w:rFonts w:hint="eastAsia" w:ascii="Times New Roman" w:hAnsi="Times New Roman" w:eastAsia="宋体" w:cs="Times New Roman"/>
          <w:color w:val="000000"/>
          <w:sz w:val="24"/>
          <w:szCs w:val="24"/>
          <w:highlight w:val="none"/>
        </w:rPr>
        <w:t>互相帮助、互相促进、共同发展的格局，有利于项目的研究与示范推广。项目的实施解决目前新疆矿山受损生态系统恢复与重建技术滞后的现状，并对其他</w:t>
      </w:r>
      <w:r>
        <w:rPr>
          <w:rFonts w:hint="eastAsia" w:ascii="Times New Roman" w:hAnsi="Times New Roman" w:eastAsia="宋体" w:cs="Times New Roman"/>
          <w:color w:val="000000"/>
          <w:sz w:val="24"/>
          <w:szCs w:val="24"/>
          <w:highlight w:val="none"/>
          <w:lang w:val="en-US" w:eastAsia="zh-CN"/>
        </w:rPr>
        <w:t>干旱区生态</w:t>
      </w:r>
      <w:r>
        <w:rPr>
          <w:rFonts w:hint="eastAsia" w:ascii="Times New Roman" w:hAnsi="Times New Roman" w:eastAsia="宋体" w:cs="Times New Roman"/>
          <w:color w:val="000000"/>
          <w:sz w:val="24"/>
          <w:szCs w:val="24"/>
          <w:highlight w:val="none"/>
        </w:rPr>
        <w:t>修复将起到良好示范和带动作用，对于</w:t>
      </w:r>
      <w:r>
        <w:rPr>
          <w:rFonts w:hint="eastAsia" w:ascii="Times New Roman" w:hAnsi="Times New Roman" w:eastAsia="宋体" w:cs="Times New Roman"/>
          <w:color w:val="000000"/>
          <w:sz w:val="24"/>
          <w:szCs w:val="24"/>
          <w:highlight w:val="none"/>
          <w:lang w:val="en-US" w:eastAsia="zh-CN"/>
        </w:rPr>
        <w:t>落实国家生态文明建设大战略，解决干旱区矿区生态系统环境恶化问题的迫切需要，以及</w:t>
      </w:r>
      <w:r>
        <w:rPr>
          <w:rFonts w:hint="eastAsia" w:ascii="Times New Roman" w:hAnsi="Times New Roman" w:eastAsia="宋体" w:cs="Times New Roman"/>
          <w:color w:val="000000"/>
          <w:sz w:val="24"/>
          <w:szCs w:val="24"/>
          <w:highlight w:val="none"/>
        </w:rPr>
        <w:t>促进地区经济社会和生态环境协调发展具有重要意义。</w:t>
      </w:r>
    </w:p>
    <w:p>
      <w:pPr>
        <w:spacing w:line="520" w:lineRule="exact"/>
        <w:ind w:firstLine="560" w:firstLineChars="200"/>
        <w:rPr>
          <w:rFonts w:hint="eastAsia" w:ascii="方正仿宋简体" w:hAnsi="仿宋" w:eastAsia="方正仿宋简体" w:cs="仿宋"/>
          <w:b/>
          <w:color w:val="000000"/>
          <w:sz w:val="28"/>
          <w:szCs w:val="28"/>
          <w:highlight w:val="none"/>
        </w:rPr>
      </w:pPr>
      <w:r>
        <w:rPr>
          <w:rFonts w:hint="eastAsia" w:ascii="方正仿宋简体" w:hAnsi="仿宋" w:eastAsia="方正仿宋简体" w:cs="仿宋"/>
          <w:b/>
          <w:color w:val="000000"/>
          <w:sz w:val="28"/>
          <w:szCs w:val="28"/>
          <w:highlight w:val="none"/>
        </w:rPr>
        <w:t>七、完成人合作关系说明</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color w:val="000000"/>
          <w:sz w:val="24"/>
          <w:szCs w:val="24"/>
          <w:highlight w:val="none"/>
          <w:lang w:val="en-US" w:eastAsia="zh-CN"/>
        </w:rPr>
      </w:pPr>
      <w:r>
        <w:rPr>
          <w:rFonts w:hint="default" w:ascii="Times New Roman" w:hAnsi="Times New Roman" w:eastAsia="宋体" w:cs="Times New Roman"/>
          <w:color w:val="000000"/>
          <w:sz w:val="24"/>
          <w:szCs w:val="24"/>
          <w:highlight w:val="none"/>
        </w:rPr>
        <w:t>项目组十多位工作人员，分工明确、优势互补、联合攻关、以在额尔齐斯河流域的库尔木图区域进行矿山受损生态系统恢复技术研究，对成果进行了示范推广，形成了多个创新性成果。完成人合作关系如下：新疆维吾尔自治区阿尔泰山国有林管理局</w:t>
      </w:r>
      <w:r>
        <w:rPr>
          <w:rFonts w:hint="default"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lang w:val="en-US" w:eastAsia="zh-CN"/>
        </w:rPr>
        <w:t>徐福军、阿勒泰·塔依巴扎尔、叶勒波拉提·托流汉</w:t>
      </w:r>
      <w:r>
        <w:rPr>
          <w:rFonts w:hint="default" w:ascii="Times New Roman" w:hAnsi="Times New Roman" w:eastAsia="宋体" w:cs="Times New Roman"/>
          <w:color w:val="000000"/>
          <w:sz w:val="24"/>
          <w:szCs w:val="24"/>
          <w:highlight w:val="none"/>
          <w:lang w:eastAsia="zh-CN"/>
        </w:rPr>
        <w:t>）</w:t>
      </w:r>
      <w:r>
        <w:rPr>
          <w:rFonts w:hint="default" w:ascii="Times New Roman" w:hAnsi="Times New Roman" w:eastAsia="宋体" w:cs="Times New Roman"/>
          <w:color w:val="000000"/>
          <w:sz w:val="24"/>
          <w:szCs w:val="24"/>
          <w:highlight w:val="none"/>
          <w:lang w:val="en-US" w:eastAsia="zh-CN"/>
        </w:rPr>
        <w:t>、新疆维吾尔自治区天然林保护中心（赵善超）及中国科学院新疆生态与地理研究所（徐海量）共同完成项目的整体构思与技术体系创建，组织、决策项目实施，并解决过程中相关技术难题，推广项目成果。中国科学院（苑塏烨、赵新风、徐俏）与新疆师范大学（叶茂）共同完成了实地监测、科学问题分析研究，撰写、发表相关著作及文章。新疆维吾尔自治区阿尔泰山国有林管理局（张海华、阿汉·瓦阿太、特列克·依巴提、程传飞、魏茂盛、杨贵生、合依劳别克、朱跃韬）、新疆林业科学院现代林业研究所（高健）参与了组织、管理项目现场施工工作，参与编撰相关著作和文章。</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简体">
    <w:altName w:val="黑体"/>
    <w:panose1 w:val="02010601030101010101"/>
    <w:charset w:val="86"/>
    <w:family w:val="auto"/>
    <w:pitch w:val="default"/>
    <w:sig w:usb0="00000000" w:usb1="00000000" w:usb2="00000010" w:usb3="00000000" w:csb0="00040000" w:csb1="00000000"/>
  </w:font>
  <w:font w:name="方正仿宋简体">
    <w:altName w:val="微软雅黑"/>
    <w:panose1 w:val="02010601030101010101"/>
    <w:charset w:val="86"/>
    <w:family w:val="auto"/>
    <w:pitch w:val="default"/>
    <w:sig w:usb0="00000000" w:usb1="00000000" w:usb2="0000001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fldChar w:fldCharType="begin"/>
    </w:r>
    <w:r>
      <w:instrText xml:space="preserve">PAGE   \* MERGEFORMAT</w:instrText>
    </w:r>
    <w:r>
      <w:fldChar w:fldCharType="separate"/>
    </w:r>
    <w:r>
      <w:rPr>
        <w:lang w:val="zh-CN"/>
      </w:rPr>
      <w:t>8</w:t>
    </w:r>
    <w:r>
      <w:fldChar w:fldCharType="end"/>
    </w:r>
  </w:p>
  <w:p>
    <w:pPr>
      <w:pStyle w:val="5"/>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doNotDisplayPageBoundarie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E43AA"/>
    <w:rsid w:val="000B1664"/>
    <w:rsid w:val="000B6882"/>
    <w:rsid w:val="00100024"/>
    <w:rsid w:val="00140ACE"/>
    <w:rsid w:val="0023763B"/>
    <w:rsid w:val="00390184"/>
    <w:rsid w:val="004D566B"/>
    <w:rsid w:val="004E43AA"/>
    <w:rsid w:val="0051016F"/>
    <w:rsid w:val="005D0A7C"/>
    <w:rsid w:val="00634DA4"/>
    <w:rsid w:val="00641621"/>
    <w:rsid w:val="00771F3A"/>
    <w:rsid w:val="007B5C8C"/>
    <w:rsid w:val="007C570B"/>
    <w:rsid w:val="007E0182"/>
    <w:rsid w:val="008356E3"/>
    <w:rsid w:val="00887BC3"/>
    <w:rsid w:val="00923094"/>
    <w:rsid w:val="00976213"/>
    <w:rsid w:val="00977731"/>
    <w:rsid w:val="00A10DAC"/>
    <w:rsid w:val="00A842C3"/>
    <w:rsid w:val="00AE657F"/>
    <w:rsid w:val="00B31512"/>
    <w:rsid w:val="00B52A14"/>
    <w:rsid w:val="00BA1770"/>
    <w:rsid w:val="00BB0254"/>
    <w:rsid w:val="00BB1951"/>
    <w:rsid w:val="00C561D0"/>
    <w:rsid w:val="00D713B6"/>
    <w:rsid w:val="00D80DC9"/>
    <w:rsid w:val="00DA7543"/>
    <w:rsid w:val="00DA7ACE"/>
    <w:rsid w:val="00DF77EF"/>
    <w:rsid w:val="00E25522"/>
    <w:rsid w:val="00E3700F"/>
    <w:rsid w:val="00E81567"/>
    <w:rsid w:val="00F242F2"/>
    <w:rsid w:val="00F61841"/>
    <w:rsid w:val="00F918DE"/>
    <w:rsid w:val="00F95FE3"/>
    <w:rsid w:val="19AE637D"/>
    <w:rsid w:val="207406BD"/>
    <w:rsid w:val="2A742976"/>
    <w:rsid w:val="339E61CE"/>
    <w:rsid w:val="65EE2F2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0"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nhideWhenUsed="0"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unhideWhenUsed/>
    <w:qFormat/>
    <w:uiPriority w:val="0"/>
    <w:pPr>
      <w:keepNext/>
      <w:keepLines/>
      <w:spacing w:line="416" w:lineRule="auto"/>
      <w:outlineLvl w:val="2"/>
    </w:pPr>
    <w:rPr>
      <w:b/>
      <w:bCs/>
      <w:sz w:val="32"/>
      <w:szCs w:val="32"/>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styleId="3">
    <w:name w:val="Plain Text"/>
    <w:basedOn w:val="1"/>
    <w:link w:val="10"/>
    <w:qFormat/>
    <w:uiPriority w:val="0"/>
    <w:pPr>
      <w:spacing w:line="360" w:lineRule="auto"/>
      <w:ind w:firstLine="480" w:firstLineChars="200"/>
    </w:pPr>
    <w:rPr>
      <w:rFonts w:ascii="仿宋_GB2312" w:hAnsiTheme="minorHAnsi" w:eastAsiaTheme="minorEastAsia" w:cstheme="minorBidi"/>
      <w:sz w:val="24"/>
      <w:szCs w:val="22"/>
    </w:rPr>
  </w:style>
  <w:style w:type="paragraph" w:styleId="4">
    <w:name w:val="Balloon Text"/>
    <w:basedOn w:val="1"/>
    <w:link w:val="16"/>
    <w:semiHidden/>
    <w:unhideWhenUsed/>
    <w:qFormat/>
    <w:uiPriority w:val="99"/>
    <w:rPr>
      <w:sz w:val="18"/>
      <w:szCs w:val="18"/>
    </w:rPr>
  </w:style>
  <w:style w:type="paragraph" w:styleId="5">
    <w:name w:val="footer"/>
    <w:basedOn w:val="1"/>
    <w:link w:val="11"/>
    <w:qFormat/>
    <w:uiPriority w:val="99"/>
    <w:pPr>
      <w:tabs>
        <w:tab w:val="center" w:pos="4153"/>
        <w:tab w:val="right" w:pos="8306"/>
      </w:tabs>
      <w:snapToGrid w:val="0"/>
      <w:jc w:val="left"/>
    </w:pPr>
    <w:rPr>
      <w:rFonts w:eastAsiaTheme="minorEastAsia" w:cstheme="minorBidi"/>
      <w:sz w:val="18"/>
      <w:szCs w:val="18"/>
    </w:rPr>
  </w:style>
  <w:style w:type="paragraph" w:styleId="6">
    <w:name w:val="header"/>
    <w:basedOn w:val="1"/>
    <w:link w:val="15"/>
    <w:unhideWhenUsed/>
    <w:qFormat/>
    <w:uiPriority w:val="99"/>
    <w:pPr>
      <w:pBdr>
        <w:bottom w:val="single" w:color="auto" w:sz="6" w:space="1"/>
      </w:pBdr>
      <w:tabs>
        <w:tab w:val="center" w:pos="4153"/>
        <w:tab w:val="right" w:pos="8306"/>
      </w:tabs>
      <w:snapToGrid w:val="0"/>
      <w:jc w:val="center"/>
    </w:pPr>
    <w:rPr>
      <w:sz w:val="18"/>
      <w:szCs w:val="18"/>
    </w:rPr>
  </w:style>
  <w:style w:type="paragraph" w:styleId="7">
    <w:name w:val="Normal (Web)"/>
    <w:basedOn w:val="1"/>
    <w:qFormat/>
    <w:uiPriority w:val="0"/>
    <w:pPr>
      <w:spacing w:before="100" w:beforeAutospacing="1" w:after="100" w:afterAutospacing="1"/>
      <w:jc w:val="left"/>
    </w:pPr>
    <w:rPr>
      <w:kern w:val="0"/>
      <w:sz w:val="24"/>
      <w:szCs w:val="20"/>
    </w:rPr>
  </w:style>
  <w:style w:type="character" w:customStyle="1" w:styleId="10">
    <w:name w:val="纯文本 Char"/>
    <w:link w:val="3"/>
    <w:qFormat/>
    <w:uiPriority w:val="0"/>
    <w:rPr>
      <w:rFonts w:ascii="仿宋_GB2312"/>
      <w:sz w:val="24"/>
    </w:rPr>
  </w:style>
  <w:style w:type="character" w:customStyle="1" w:styleId="11">
    <w:name w:val="页脚 Char"/>
    <w:link w:val="5"/>
    <w:qFormat/>
    <w:uiPriority w:val="99"/>
    <w:rPr>
      <w:rFonts w:ascii="Calibri" w:hAnsi="Calibri"/>
      <w:sz w:val="18"/>
      <w:szCs w:val="18"/>
    </w:rPr>
  </w:style>
  <w:style w:type="character" w:customStyle="1" w:styleId="12">
    <w:name w:val="页脚 Char1"/>
    <w:basedOn w:val="9"/>
    <w:semiHidden/>
    <w:qFormat/>
    <w:uiPriority w:val="99"/>
    <w:rPr>
      <w:rFonts w:ascii="Calibri" w:hAnsi="Calibri" w:eastAsia="宋体" w:cs="Times New Roman"/>
      <w:sz w:val="18"/>
      <w:szCs w:val="18"/>
    </w:rPr>
  </w:style>
  <w:style w:type="character" w:customStyle="1" w:styleId="13">
    <w:name w:val="纯文本 Char1"/>
    <w:basedOn w:val="9"/>
    <w:semiHidden/>
    <w:qFormat/>
    <w:uiPriority w:val="99"/>
    <w:rPr>
      <w:rFonts w:ascii="宋体" w:hAnsi="Courier New" w:eastAsia="宋体" w:cs="Courier New"/>
      <w:szCs w:val="21"/>
    </w:rPr>
  </w:style>
  <w:style w:type="paragraph" w:styleId="14">
    <w:name w:val="List Paragraph"/>
    <w:basedOn w:val="1"/>
    <w:qFormat/>
    <w:uiPriority w:val="34"/>
    <w:pPr>
      <w:ind w:firstLine="420" w:firstLineChars="200"/>
    </w:pPr>
  </w:style>
  <w:style w:type="character" w:customStyle="1" w:styleId="15">
    <w:name w:val="页眉 Char"/>
    <w:basedOn w:val="9"/>
    <w:link w:val="6"/>
    <w:qFormat/>
    <w:uiPriority w:val="99"/>
    <w:rPr>
      <w:rFonts w:ascii="Calibri" w:hAnsi="Calibri" w:eastAsia="宋体" w:cs="Times New Roman"/>
      <w:sz w:val="18"/>
      <w:szCs w:val="18"/>
    </w:rPr>
  </w:style>
  <w:style w:type="character" w:customStyle="1" w:styleId="16">
    <w:name w:val="批注框文本 Char"/>
    <w:basedOn w:val="9"/>
    <w:link w:val="4"/>
    <w:semiHidden/>
    <w:qFormat/>
    <w:uiPriority w:val="99"/>
    <w:rPr>
      <w:rFonts w:ascii="Calibri" w:hAnsi="Calibri" w:eastAsia="宋体" w:cs="Times New Roman"/>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13</Pages>
  <Words>1133</Words>
  <Characters>6462</Characters>
  <Lines>53</Lines>
  <Paragraphs>15</Paragraphs>
  <TotalTime>4</TotalTime>
  <ScaleCrop>false</ScaleCrop>
  <LinksUpToDate>false</LinksUpToDate>
  <CharactersWithSpaces>7580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2020-08-24T00:23:00Z</dcterms:created>
  <dc:creator>Administrator</dc:creator>
  <cp:lastModifiedBy>WPS_1618979506</cp:lastModifiedBy>
  <cp:lastPrinted>2020-08-31T11:01:00Z</cp:lastPrinted>
  <dcterms:modified xsi:type="dcterms:W3CDTF">2021-08-23T09:51:12Z</dcterms:modified>
  <cp:revision>24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947A29D12BB14D848EB6E24D8D5E650D</vt:lpwstr>
  </property>
</Properties>
</file>